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C3FC" w14:textId="77777777" w:rsidR="00DA4F43" w:rsidRDefault="00000000">
      <w:pPr>
        <w:pStyle w:val="Heading1"/>
      </w:pPr>
      <w:r>
        <w:t>National Real-Time Payments (NRTP) System – Formal Report</w:t>
      </w:r>
    </w:p>
    <w:p w14:paraId="09D6699A" w14:textId="77777777" w:rsidR="00DA4F43" w:rsidRDefault="00000000">
      <w:pPr>
        <w:pStyle w:val="Heading2"/>
      </w:pPr>
      <w:r>
        <w:t>Executive Summary</w:t>
      </w:r>
    </w:p>
    <w:p w14:paraId="019DDE44" w14:textId="77777777" w:rsidR="00DA4F43" w:rsidRDefault="00000000">
      <w:r>
        <w:t>This report presents the full technical, business, and regulatory design for a National Real-Time Payments (NRTP) system. It draws from globally proven models such as UPI in India, Pix in Brazil, SEPA Instant in the EU, and RTP/FedNow in the United States. The objective is to create a 24x7x365 instant payments platform with irrevocable settlement, ISO 20022 messaging, strong fraud controls, and open APIs.</w:t>
      </w:r>
    </w:p>
    <w:p w14:paraId="2064755A" w14:textId="77777777" w:rsidR="00DA4F43" w:rsidRDefault="00000000">
      <w:pPr>
        <w:pStyle w:val="Heading2"/>
      </w:pPr>
      <w:r>
        <w:t>1. Global Benchmarking</w:t>
      </w:r>
    </w:p>
    <w:p w14:paraId="48F6BC56" w14:textId="77777777" w:rsidR="00DA4F43" w:rsidRDefault="00000000">
      <w:r>
        <w:t>• UPI processes over 18 billion monthly transactions in India, demonstrating hyperscale adoption.</w:t>
      </w:r>
    </w:p>
    <w:p w14:paraId="3CA40EE4" w14:textId="77777777" w:rsidR="00DA4F43" w:rsidRDefault="00000000">
      <w:r>
        <w:t>• Pix in Brazil has exceeded 170 million users with innovative features like contactless and automatic payments.</w:t>
      </w:r>
    </w:p>
    <w:p w14:paraId="7CDC0250" w14:textId="77777777" w:rsidR="00DA4F43" w:rsidRDefault="00000000">
      <w:r>
        <w:t>• SEPA Instant enables pan-European instant payments with &lt;10 second availability, guided by EU Instant Payments Regulation.</w:t>
      </w:r>
    </w:p>
    <w:p w14:paraId="1F51ADD3" w14:textId="77777777" w:rsidR="00DA4F43" w:rsidRDefault="00000000">
      <w:r>
        <w:t>• The U.S. RTP network supports high-value instant payments with a limit of up to $10M.</w:t>
      </w:r>
    </w:p>
    <w:p w14:paraId="1B864DBF" w14:textId="77777777" w:rsidR="00DA4F43" w:rsidRDefault="00000000">
      <w:pPr>
        <w:pStyle w:val="Heading2"/>
      </w:pPr>
      <w:r>
        <w:t>2. System Architecture</w:t>
      </w:r>
    </w:p>
    <w:p w14:paraId="0A6166EA" w14:textId="77777777" w:rsidR="00DA4F43" w:rsidRDefault="00000000">
      <w:r>
        <w:t>The NRTP system architecture consists of an instant switching core, real-time clearing &amp; settlement, directory services for alias-based transfers, a fraud and risk scoring hub, and an API gateway. All payment messages follow ISO 20022 standards with rich remittance data. Request-to-Pay capabilities enable structured invoicing and automated reconciliation.</w:t>
      </w:r>
    </w:p>
    <w:p w14:paraId="55B5E045" w14:textId="77777777" w:rsidR="00DA4F43" w:rsidRDefault="00000000">
      <w:pPr>
        <w:pStyle w:val="Heading2"/>
      </w:pPr>
      <w:r>
        <w:t>3. Governance &amp; Operating Model</w:t>
      </w:r>
    </w:p>
    <w:p w14:paraId="3D6998EC" w14:textId="77777777" w:rsidR="00DA4F43" w:rsidRDefault="00000000">
      <w:r>
        <w:t>A central scheme authority manages the rulebook, onboarding, SLAs, and compliance. Participants follow tiered access models similar to SEPA Instant. Pricing should align with value-added services to maintain sustainability.</w:t>
      </w:r>
    </w:p>
    <w:p w14:paraId="171C781E" w14:textId="77777777" w:rsidR="00DA4F43" w:rsidRDefault="00000000">
      <w:pPr>
        <w:pStyle w:val="Heading2"/>
      </w:pPr>
      <w:r>
        <w:t>4. Fraud &amp; Security Framework</w:t>
      </w:r>
    </w:p>
    <w:p w14:paraId="3A38DD55" w14:textId="77777777" w:rsidR="00DA4F43" w:rsidRDefault="00000000">
      <w:r>
        <w:t>Security controls include confirmation-of-payee, device binding, behavioural analytics, AI-based risk scoring, velocity checks, mule detection, and real-time monitoring. The system enforces strict timeouts aligned with SEPA's 5/7/9 second rule for responses.</w:t>
      </w:r>
    </w:p>
    <w:p w14:paraId="328FD5D4" w14:textId="77777777" w:rsidR="00DA4F43" w:rsidRDefault="00000000">
      <w:pPr>
        <w:pStyle w:val="Heading2"/>
      </w:pPr>
      <w:r>
        <w:t>5. Implementation Roadmap</w:t>
      </w:r>
    </w:p>
    <w:p w14:paraId="530AF896" w14:textId="77777777" w:rsidR="00DA4F43" w:rsidRDefault="00000000">
      <w:r>
        <w:t>Phase 1: P2P instant payments, directory onboarding, fraud hub v1.</w:t>
      </w:r>
    </w:p>
    <w:p w14:paraId="66EF72C6" w14:textId="77777777" w:rsidR="00DA4F43" w:rsidRDefault="00000000">
      <w:r>
        <w:t>Phase 2: Merchant Request-to-Pay, corporate payouts, analytics.</w:t>
      </w:r>
    </w:p>
    <w:p w14:paraId="0B12FF6F" w14:textId="77777777" w:rsidR="00DA4F43" w:rsidRDefault="00000000">
      <w:r>
        <w:t>Phase 3: High-value B2B limits, cross-border corridor pilots, enhanced fraud &amp; AML.</w:t>
      </w:r>
    </w:p>
    <w:p w14:paraId="72DDEF35" w14:textId="77777777" w:rsidR="00DA4F43" w:rsidRDefault="00000000">
      <w:pPr>
        <w:pStyle w:val="Heading2"/>
      </w:pPr>
      <w:r>
        <w:lastRenderedPageBreak/>
        <w:t>6. Business Impact &amp; ROI</w:t>
      </w:r>
    </w:p>
    <w:p w14:paraId="472EB2B3" w14:textId="77777777" w:rsidR="00DA4F43" w:rsidRDefault="00000000">
      <w:r>
        <w:t>Organizations benefit through improved cash flow, lower operational friction, reduced reconciliation errors, and better customer experience. Economies with instant payment adoption show accelerated digitization and financial inclusion.</w:t>
      </w:r>
    </w:p>
    <w:p w14:paraId="658A4CF9" w14:textId="77777777" w:rsidR="00DA4F43" w:rsidRDefault="00000000">
      <w:pPr>
        <w:pStyle w:val="Heading2"/>
      </w:pPr>
      <w:r>
        <w:t>Conclusion</w:t>
      </w:r>
    </w:p>
    <w:p w14:paraId="05B7E565" w14:textId="77777777" w:rsidR="00DA4F43" w:rsidRDefault="00000000">
      <w:r>
        <w:t>A modern NRTP system improves efficiency, reduces risk, and enhances economic activity. Adopting global best practices ensures scalability, resilience, and long-term sustainability.</w:t>
      </w:r>
    </w:p>
    <w:sectPr w:rsidR="00DA4F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388140">
    <w:abstractNumId w:val="8"/>
  </w:num>
  <w:num w:numId="2" w16cid:durableId="1951352127">
    <w:abstractNumId w:val="6"/>
  </w:num>
  <w:num w:numId="3" w16cid:durableId="1418986582">
    <w:abstractNumId w:val="5"/>
  </w:num>
  <w:num w:numId="4" w16cid:durableId="1009261269">
    <w:abstractNumId w:val="4"/>
  </w:num>
  <w:num w:numId="5" w16cid:durableId="84306184">
    <w:abstractNumId w:val="7"/>
  </w:num>
  <w:num w:numId="6" w16cid:durableId="436872089">
    <w:abstractNumId w:val="3"/>
  </w:num>
  <w:num w:numId="7" w16cid:durableId="94374582">
    <w:abstractNumId w:val="2"/>
  </w:num>
  <w:num w:numId="8" w16cid:durableId="1375538035">
    <w:abstractNumId w:val="1"/>
  </w:num>
  <w:num w:numId="9" w16cid:durableId="79379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13F4"/>
    <w:rsid w:val="00A52D20"/>
    <w:rsid w:val="00AA1D8D"/>
    <w:rsid w:val="00B47730"/>
    <w:rsid w:val="00CB0664"/>
    <w:rsid w:val="00DA4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2E8E2"/>
  <w14:defaultImageDpi w14:val="300"/>
  <w15:docId w15:val="{B87B8EDB-82D6-474D-AA9A-D463D560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2209</Characters>
  <Application>Microsoft Office Word</Application>
  <DocSecurity>0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Alok Das</cp:lastModifiedBy>
  <cp:revision>2</cp:revision>
  <dcterms:created xsi:type="dcterms:W3CDTF">2026-03-09T17:43:00Z</dcterms:created>
  <dcterms:modified xsi:type="dcterms:W3CDTF">2026-03-09T17:43:00Z</dcterms:modified>
  <cp:category/>
</cp:coreProperties>
</file>