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none"/>
              <w:left w:val="none"/>
              <w:bottom w:val="none"/>
              <w:right w:val="none"/>
            </w:tcBorders>
            <w:shd w:fill="1C3F6E" w:val="clear"/>
            <w:tcMar>
              <w:top w:type="dxa" w:w="400"/>
              <w:left w:type="dxa" w:w="360"/>
              <w:bottom w:type="dxa" w:w="400"/>
              <w:right w:type="dxa" w:w="360"/>
            </w:tcMar>
          </w:tcPr>
          <w:p>
            <w:pPr>
              <w:spacing w:before="0" w:after="80"/>
              <w:jc w:val="left"/>
            </w:pPr>
            <w:r>
              <w:rPr>
                <w:rFonts w:ascii="Arial" w:cs="Arial" w:eastAsia="Arial" w:hAnsi="Arial"/>
                <w:b/>
                <w:bCs/>
                <w:caps/>
                <w:color w:val="0D9488"/>
                <w:sz w:val="20"/>
                <w:szCs w:val="20"/>
              </w:rPr>
              <w:t xml:space="preserve">TECHNICAL ARCHITECTURE REPORT</w:t>
            </w:r>
          </w:p>
          <w:p>
            <w:pPr>
              <w:spacing w:before="0" w:after="120"/>
              <w:jc w:val="left"/>
            </w:pPr>
            <w:r>
              <w:rPr>
                <w:rFonts w:ascii="Arial" w:cs="Arial" w:eastAsia="Arial" w:hAnsi="Arial"/>
                <w:b/>
                <w:bCs/>
                <w:color w:val="FFFFFF"/>
                <w:sz w:val="44"/>
                <w:szCs w:val="44"/>
              </w:rPr>
              <w:t xml:space="preserve">National Real-Time Payments System</w:t>
            </w:r>
          </w:p>
          <w:p>
            <w:pPr>
              <w:spacing w:before="0" w:after="60"/>
              <w:jc w:val="left"/>
            </w:pPr>
            <w:r>
              <w:rPr>
                <w:rFonts w:ascii="Arial" w:cs="Arial" w:eastAsia="Arial" w:hAnsi="Arial"/>
                <w:color w:val="B0C4D8"/>
                <w:sz w:val="24"/>
                <w:szCs w:val="24"/>
              </w:rPr>
              <w:t xml:space="preserve">Architecture Foundation — Case Study</w:t>
            </w:r>
          </w:p>
          <w:p>
            <w:pPr>
              <w:spacing w:before="240" w:after="40"/>
              <w:jc w:val="left"/>
            </w:pPr>
            <w:r>
              <w:rPr>
                <w:rFonts w:ascii="Arial" w:cs="Arial" w:eastAsia="Arial" w:hAnsi="Arial"/>
                <w:color w:val="B0C4D8"/>
                <w:sz w:val="18"/>
                <w:szCs w:val="18"/>
              </w:rPr>
              <w:t xml:space="preserve">Prepared for:</w:t>
            </w:r>
          </w:p>
          <w:p>
            <w:pPr>
              <w:spacing w:before="0" w:after="40"/>
              <w:jc w:val="left"/>
            </w:pPr>
            <w:r>
              <w:rPr>
                <w:rFonts w:ascii="Arial" w:cs="Arial" w:eastAsia="Arial" w:hAnsi="Arial"/>
                <w:b/>
                <w:bCs/>
                <w:color w:val="FFFFFF"/>
                <w:sz w:val="22"/>
                <w:szCs w:val="22"/>
              </w:rPr>
              <w:t xml:space="preserve">Emily Watson  |  IT Technical Lead</w:t>
            </w:r>
          </w:p>
          <w:p>
            <w:pPr>
              <w:spacing w:before="0" w:after="40"/>
              <w:jc w:val="left"/>
            </w:pPr>
            <w:r>
              <w:rPr>
                <w:rFonts w:ascii="Arial" w:cs="Arial" w:eastAsia="Arial" w:hAnsi="Arial"/>
                <w:color w:val="B0C4D8"/>
                <w:sz w:val="20"/>
                <w:szCs w:val="20"/>
              </w:rPr>
              <w:t xml:space="preserve">United Kingdom</w:t>
            </w:r>
          </w:p>
          <w:p>
            <w:pPr>
              <w:spacing w:before="180" w:after="40"/>
              <w:jc w:val="left"/>
            </w:pPr>
            <w:r>
              <w:rPr>
                <w:rFonts w:ascii="Arial" w:cs="Arial" w:eastAsia="Arial" w:hAnsi="Arial"/>
                <w:color w:val="B0C4D8"/>
                <w:sz w:val="18"/>
                <w:szCs w:val="18"/>
              </w:rPr>
              <w:t xml:space="preserve">Prepared by:  ATS Immune  |  UNEXT Learning Pvt Ltd</w:t>
            </w:r>
          </w:p>
          <w:p>
            <w:pPr>
              <w:spacing w:before="0" w:after="0"/>
              <w:jc w:val="left"/>
            </w:pPr>
            <w:r>
              <w:rPr>
                <w:rFonts w:ascii="Arial" w:cs="Arial" w:eastAsia="Arial" w:hAnsi="Arial"/>
                <w:color w:val="B0C4D8"/>
                <w:sz w:val="18"/>
                <w:szCs w:val="18"/>
              </w:rPr>
              <w:t xml:space="preserve">Date: February 2026  |  Version 1.0  |  CONFIDENTIAL</w:t>
            </w:r>
          </w:p>
        </w:tc>
      </w:tr>
    </w:tbl>
    <w:p>
      <w:r>
        <w:br w:type="page"/>
      </w:r>
    </w:p>
    <w:p>
      <w:pPr>
        <w:pStyle w:val="Heading1"/>
        <w:pBdr>
          <w:bottom w:val="single" w:color="0D9488" w:sz="8" w:space="4"/>
        </w:pBdr>
        <w:spacing w:before="360" w:after="160"/>
      </w:pPr>
      <w:r>
        <w:rPr>
          <w:rFonts w:ascii="Arial" w:cs="Arial" w:eastAsia="Arial" w:hAnsi="Arial"/>
          <w:b/>
          <w:bCs/>
          <w:color w:val="1C3F6E"/>
          <w:sz w:val="32"/>
          <w:szCs w:val="32"/>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6560"/>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Document Title</w:t>
            </w:r>
          </w:p>
        </w:tc>
        <w:tc>
          <w:tcPr>
            <w:tcW w:type="dxa" w:w="656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National Real-Time Payments System — Technical Architecture Report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Prepared For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Emily Watson, IT Technical Lead</w:t>
            </w:r>
          </w:p>
        </w:tc>
      </w:tr>
      <w:tr>
        <w:tc>
          <w:tcPr>
            <w:tcW w:type="dxa" w:w="28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Organisation</w:t>
            </w:r>
          </w:p>
        </w:tc>
        <w:tc>
          <w:tcPr>
            <w:tcW w:type="dxa" w:w="656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UK Financial Services Partner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Prepared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ATS Immune, UNEXT Learning Pvt Ltd</w:t>
            </w:r>
          </w:p>
        </w:tc>
      </w:tr>
      <w:tr>
        <w:tc>
          <w:tcPr>
            <w:tcW w:type="dxa" w:w="28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Course</w:t>
            </w:r>
          </w:p>
        </w:tc>
        <w:tc>
          <w:tcPr>
            <w:tcW w:type="dxa" w:w="656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Architecture Foundation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1.0 (Final)</w:t>
            </w:r>
          </w:p>
        </w:tc>
      </w:tr>
      <w:tr>
        <w:tc>
          <w:tcPr>
            <w:tcW w:type="dxa" w:w="28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Date</w:t>
            </w:r>
          </w:p>
        </w:tc>
        <w:tc>
          <w:tcPr>
            <w:tcW w:type="dxa" w:w="656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February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Confidential</w:t>
            </w:r>
          </w:p>
        </w:tc>
      </w:tr>
    </w:tbl>
    <w:p>
      <w:pPr>
        <w:spacing w:before="240" w:after="120"/>
      </w:pPr>
      <w:r>
        <w:t xml:space="preserve"/>
      </w:r>
    </w:p>
    <w:p>
      <w:pPr>
        <w:pStyle w:val="Heading1"/>
        <w:pBdr>
          <w:bottom w:val="single" w:color="0D9488" w:sz="8" w:space="4"/>
        </w:pBdr>
        <w:spacing w:before="360" w:after="160"/>
      </w:pPr>
      <w:r>
        <w:rPr>
          <w:rFonts w:ascii="Arial" w:cs="Arial" w:eastAsia="Arial" w:hAnsi="Arial"/>
          <w:b/>
          <w:bCs/>
          <w:color w:val="1C3F6E"/>
          <w:sz w:val="32"/>
          <w:szCs w:val="32"/>
        </w:rPr>
        <w:t xml:space="preserve">1. Executive Summary</w:t>
      </w:r>
    </w:p>
    <w:p>
      <w:pPr>
        <w:spacing w:before="60" w:after="120"/>
        <w:jc w:val="both"/>
      </w:pPr>
      <w:r>
        <w:rPr>
          <w:rFonts w:ascii="Arial" w:cs="Arial" w:eastAsia="Arial" w:hAnsi="Arial"/>
          <w:color w:val="1E293B"/>
          <w:sz w:val="22"/>
          <w:szCs w:val="22"/>
        </w:rPr>
        <w:t xml:space="preserve">This report provides a comprehensive technical analysis of the National Real-Time Payments (RTP) System as discussed within the Architecture Foundation course module. It is addressed to Emily Watson, IT Technical Lead, to support the evaluation, planning, and potential integration of RTP infrastructure within a UK-based financial services context.</w:t>
      </w:r>
    </w:p>
    <w:p>
      <w:pPr>
        <w:spacing w:before="60" w:after="120"/>
        <w:jc w:val="both"/>
      </w:pPr>
      <w:r>
        <w:rPr>
          <w:rFonts w:ascii="Arial" w:cs="Arial" w:eastAsia="Arial" w:hAnsi="Arial"/>
          <w:color w:val="1E293B"/>
          <w:sz w:val="22"/>
          <w:szCs w:val="22"/>
        </w:rPr>
        <w:t xml:space="preserve">The National RTP System represents a paradigm shift in the United States payment ecosystem, transitioning from legacy batch-oriented Automated Clearing House (ACH) processing to an always-on, event-driven, cloud-native infrastructure capable of processing transactions in under five seconds. The architecture draws on globally recognised standards — most notably ISO 20022 — and employs a microservices-based design that ensures horizontal scalability, resilience, and regulatory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20"/>
              <w:bottom w:val="single" w:color="0D9488" w:sz="1"/>
              <w:right w:val="single" w:color="E2EDF7" w:sz="1"/>
            </w:tcBorders>
            <w:shd w:fill="EEF6F5" w:val="clear"/>
            <w:tcMar>
              <w:top w:type="dxa" w:w="100"/>
              <w:left w:type="dxa" w:w="180"/>
              <w:bottom w:type="dxa" w:w="100"/>
              <w:right w:type="dxa" w:w="120"/>
            </w:tcMar>
          </w:tcPr>
          <w:p>
            <w:pPr>
              <w:spacing w:before="0" w:after="0"/>
            </w:pPr>
            <w:r>
              <w:rPr>
                <w:rFonts w:ascii="Arial" w:cs="Arial" w:eastAsia="Arial" w:hAnsi="Arial"/>
                <w:color w:val="0D5E57"/>
                <w:sz w:val="22"/>
                <w:szCs w:val="22"/>
              </w:rPr>
              <w:t xml:space="preserve">Key takeaway: The system processes payments 24 hours a day, 365 days a year with sub-5-second settlement, replacing ACH which operates on business-day batch cycles. This capability is directly analogous to the UK's Faster Payments Service (FPS), offering cross-pollinating architectural insights.</w:t>
            </w:r>
          </w:p>
        </w:tc>
      </w:tr>
    </w:tbl>
    <w:p>
      <w:pPr>
        <w:spacing w:before="120" w:after="60"/>
      </w:pPr>
      <w:r>
        <w:t xml:space="preserve"/>
      </w:r>
    </w:p>
    <w:p>
      <w:pPr>
        <w:spacing w:before="60" w:after="120"/>
        <w:jc w:val="both"/>
      </w:pPr>
      <w:r>
        <w:rPr>
          <w:rFonts w:ascii="Arial" w:cs="Arial" w:eastAsia="Arial" w:hAnsi="Arial"/>
          <w:color w:val="1E293B"/>
          <w:sz w:val="22"/>
          <w:szCs w:val="22"/>
        </w:rPr>
        <w:t xml:space="preserve">This report is structured as follows: Section 2 provides contextual background; Section 3 outlines the system architecture in technical detail; Section 4 describes core components; Section 5 covers security and compliance; Section 6 addresses integration considerations; Section 7 discusses implementation strategy; and Section 8 presents conclusions and recommendations.</w:t>
      </w:r>
    </w:p>
    <w:p>
      <w:r>
        <w:br w:type="page"/>
      </w:r>
    </w:p>
    <w:p>
      <w:pPr>
        <w:pStyle w:val="Heading1"/>
        <w:pBdr>
          <w:bottom w:val="single" w:color="0D9488" w:sz="8" w:space="4"/>
        </w:pBdr>
        <w:spacing w:before="360" w:after="160"/>
      </w:pPr>
      <w:r>
        <w:rPr>
          <w:rFonts w:ascii="Arial" w:cs="Arial" w:eastAsia="Arial" w:hAnsi="Arial"/>
          <w:b/>
          <w:bCs/>
          <w:color w:val="1C3F6E"/>
          <w:sz w:val="32"/>
          <w:szCs w:val="32"/>
        </w:rPr>
        <w:t xml:space="preserve">2. Background and Context</w:t>
      </w:r>
    </w:p>
    <w:p>
      <w:pPr>
        <w:pStyle w:val="Heading2"/>
        <w:spacing w:before="240" w:after="120"/>
      </w:pPr>
      <w:r>
        <w:rPr>
          <w:rFonts w:ascii="Arial" w:cs="Arial" w:eastAsia="Arial" w:hAnsi="Arial"/>
          <w:b/>
          <w:bCs/>
          <w:color w:val="0D9488"/>
          <w:sz w:val="26"/>
          <w:szCs w:val="26"/>
        </w:rPr>
        <w:t xml:space="preserve">2.1 The US Payments Landscape Prior to RTP</w:t>
      </w:r>
    </w:p>
    <w:p>
      <w:pPr>
        <w:spacing w:before="60" w:after="120"/>
        <w:jc w:val="both"/>
      </w:pPr>
      <w:r>
        <w:rPr>
          <w:rFonts w:ascii="Arial" w:cs="Arial" w:eastAsia="Arial" w:hAnsi="Arial"/>
          <w:color w:val="1E293B"/>
          <w:sz w:val="22"/>
          <w:szCs w:val="22"/>
        </w:rPr>
        <w:t xml:space="preserve">Prior to the National RTP initiative, the United States payment infrastructure was characterised by a fragmented ecosystem of legacy systems, the most prominent of which was ACH (Automated Clearing House), a batch-processing network governed by NACHA. Despite processing over $72 trillion annually, the ACH network imposed significant operational constraints:</w:t>
      </w:r>
    </w:p>
    <w:p>
      <w:pPr>
        <w:pStyle w:val="ListParagraph"/>
        <w:numPr>
          <w:ilvl w:val="0"/>
          <w:numId w:val="2"/>
        </w:numPr>
        <w:spacing w:before="40" w:after="60"/>
      </w:pPr>
      <w:r>
        <w:rPr>
          <w:rFonts w:ascii="Arial" w:cs="Arial" w:eastAsia="Arial" w:hAnsi="Arial"/>
          <w:color w:val="1E293B"/>
          <w:sz w:val="22"/>
          <w:szCs w:val="22"/>
        </w:rPr>
        <w:t xml:space="preserve">Settlement latency of one to three business days for standard transactions.</w:t>
      </w:r>
    </w:p>
    <w:p>
      <w:pPr>
        <w:pStyle w:val="ListParagraph"/>
        <w:numPr>
          <w:ilvl w:val="0"/>
          <w:numId w:val="2"/>
        </w:numPr>
        <w:spacing w:before="40" w:after="60"/>
      </w:pPr>
      <w:r>
        <w:rPr>
          <w:rFonts w:ascii="Arial" w:cs="Arial" w:eastAsia="Arial" w:hAnsi="Arial"/>
          <w:color w:val="1E293B"/>
          <w:sz w:val="22"/>
          <w:szCs w:val="22"/>
        </w:rPr>
        <w:t xml:space="preserve">Operational window limited to business hours on weekdays.</w:t>
      </w:r>
    </w:p>
    <w:p>
      <w:pPr>
        <w:pStyle w:val="ListParagraph"/>
        <w:numPr>
          <w:ilvl w:val="0"/>
          <w:numId w:val="2"/>
        </w:numPr>
        <w:spacing w:before="40" w:after="60"/>
      </w:pPr>
      <w:r>
        <w:rPr>
          <w:rFonts w:ascii="Arial" w:cs="Arial" w:eastAsia="Arial" w:hAnsi="Arial"/>
          <w:color w:val="1E293B"/>
          <w:sz w:val="22"/>
          <w:szCs w:val="22"/>
        </w:rPr>
        <w:t xml:space="preserve">Lack of native support for rich, structured remittance data.</w:t>
      </w:r>
    </w:p>
    <w:p>
      <w:pPr>
        <w:pStyle w:val="ListParagraph"/>
        <w:numPr>
          <w:ilvl w:val="0"/>
          <w:numId w:val="2"/>
        </w:numPr>
        <w:spacing w:before="40" w:after="60"/>
      </w:pPr>
      <w:r>
        <w:rPr>
          <w:rFonts w:ascii="Arial" w:cs="Arial" w:eastAsia="Arial" w:hAnsi="Arial"/>
          <w:color w:val="1E293B"/>
          <w:sz w:val="22"/>
          <w:szCs w:val="22"/>
        </w:rPr>
        <w:t xml:space="preserve">No real-time confirmation to either payer or payee.</w:t>
      </w:r>
    </w:p>
    <w:p>
      <w:pPr>
        <w:pStyle w:val="ListParagraph"/>
        <w:numPr>
          <w:ilvl w:val="0"/>
          <w:numId w:val="2"/>
        </w:numPr>
        <w:spacing w:before="40" w:after="60"/>
      </w:pPr>
      <w:r>
        <w:rPr>
          <w:rFonts w:ascii="Arial" w:cs="Arial" w:eastAsia="Arial" w:hAnsi="Arial"/>
          <w:color w:val="1E293B"/>
          <w:sz w:val="22"/>
          <w:szCs w:val="22"/>
        </w:rPr>
        <w:t xml:space="preserve">Elevated fraud risk attributable to delayed detection and settlement.</w:t>
      </w:r>
    </w:p>
    <w:p>
      <w:pPr>
        <w:spacing w:before="120" w:after="60"/>
      </w:pPr>
      <w:r>
        <w:t xml:space="preserve"/>
      </w:r>
    </w:p>
    <w:p>
      <w:pPr>
        <w:spacing w:before="60" w:after="120"/>
        <w:jc w:val="both"/>
      </w:pPr>
      <w:r>
        <w:rPr>
          <w:rFonts w:ascii="Arial" w:cs="Arial" w:eastAsia="Arial" w:hAnsi="Arial"/>
          <w:color w:val="1E293B"/>
          <w:sz w:val="22"/>
          <w:szCs w:val="22"/>
        </w:rPr>
        <w:t xml:space="preserve">These constraints created systemic inefficiencies particularly affecting corporate treasury functions, small-to-medium enterprises (SMEs), gig-economy payroll, and government disbursement programmes. A 2024 Federal Reserve study estimated that payment delays cost US businesses approximately $3.1 billion annually in working capital friction.</w:t>
      </w:r>
    </w:p>
    <w:p>
      <w:pPr>
        <w:pStyle w:val="Heading2"/>
        <w:spacing w:before="240" w:after="120"/>
      </w:pPr>
      <w:r>
        <w:rPr>
          <w:rFonts w:ascii="Arial" w:cs="Arial" w:eastAsia="Arial" w:hAnsi="Arial"/>
          <w:b/>
          <w:bCs/>
          <w:color w:val="0D9488"/>
          <w:sz w:val="26"/>
          <w:szCs w:val="26"/>
        </w:rPr>
        <w:t xml:space="preserve">2.2 Regulatory Mandate and Strategic Objectives</w:t>
      </w:r>
    </w:p>
    <w:p>
      <w:pPr>
        <w:spacing w:before="60" w:after="120"/>
        <w:jc w:val="both"/>
      </w:pPr>
      <w:r>
        <w:rPr>
          <w:rFonts w:ascii="Arial" w:cs="Arial" w:eastAsia="Arial" w:hAnsi="Arial"/>
          <w:color w:val="1E293B"/>
          <w:sz w:val="22"/>
          <w:szCs w:val="22"/>
        </w:rPr>
        <w:t xml:space="preserve">The National RTP initiative was formally mandated under a joint directive from the Federal Reserve, NACHA, and the Office of the Comptroller of the Currency (OCC) in 2024. The strategic objectives are:</w:t>
      </w:r>
    </w:p>
    <w:p>
      <w:pPr>
        <w:pStyle w:val="ListParagraph"/>
        <w:numPr>
          <w:ilvl w:val="0"/>
          <w:numId w:val="3"/>
        </w:numPr>
        <w:spacing w:before="40" w:after="60"/>
      </w:pPr>
      <w:r>
        <w:rPr>
          <w:rFonts w:ascii="Arial" w:cs="Arial" w:eastAsia="Arial" w:hAnsi="Arial"/>
          <w:color w:val="1E293B"/>
          <w:sz w:val="22"/>
          <w:szCs w:val="22"/>
        </w:rPr>
        <w:t xml:space="preserve">Establish a ubiquitous, inclusive, real-time payment rail accessible to all regulated financial institutions.</w:t>
      </w:r>
    </w:p>
    <w:p>
      <w:pPr>
        <w:pStyle w:val="ListParagraph"/>
        <w:numPr>
          <w:ilvl w:val="0"/>
          <w:numId w:val="3"/>
        </w:numPr>
        <w:spacing w:before="40" w:after="60"/>
      </w:pPr>
      <w:r>
        <w:rPr>
          <w:rFonts w:ascii="Arial" w:cs="Arial" w:eastAsia="Arial" w:hAnsi="Arial"/>
          <w:color w:val="1E293B"/>
          <w:sz w:val="22"/>
          <w:szCs w:val="22"/>
        </w:rPr>
        <w:t xml:space="preserve">Adopt ISO 20022 as the universal messaging standard to align with global payment modernisation trends including SWIFT gpi and the Single Euro Payments Area (SEPA).</w:t>
      </w:r>
    </w:p>
    <w:p>
      <w:pPr>
        <w:pStyle w:val="ListParagraph"/>
        <w:numPr>
          <w:ilvl w:val="0"/>
          <w:numId w:val="3"/>
        </w:numPr>
        <w:spacing w:before="40" w:after="60"/>
      </w:pPr>
      <w:r>
        <w:rPr>
          <w:rFonts w:ascii="Arial" w:cs="Arial" w:eastAsia="Arial" w:hAnsi="Arial"/>
          <w:color w:val="1E293B"/>
          <w:sz w:val="22"/>
          <w:szCs w:val="22"/>
        </w:rPr>
        <w:t xml:space="preserve">Build a resilient, cloud-native infrastructure with a mandated Service Level Agreement (SLA) of 99.999% availability.</w:t>
      </w:r>
    </w:p>
    <w:p>
      <w:pPr>
        <w:pStyle w:val="ListParagraph"/>
        <w:numPr>
          <w:ilvl w:val="0"/>
          <w:numId w:val="3"/>
        </w:numPr>
        <w:spacing w:before="40" w:after="60"/>
      </w:pPr>
      <w:r>
        <w:rPr>
          <w:rFonts w:ascii="Arial" w:cs="Arial" w:eastAsia="Arial" w:hAnsi="Arial"/>
          <w:color w:val="1E293B"/>
          <w:sz w:val="22"/>
          <w:szCs w:val="22"/>
        </w:rPr>
        <w:t xml:space="preserve">Deliver enhanced fraud prevention capabilities through machine learning-based real-time transaction scoring.</w:t>
      </w:r>
    </w:p>
    <w:p>
      <w:pPr>
        <w:pStyle w:val="ListParagraph"/>
        <w:numPr>
          <w:ilvl w:val="0"/>
          <w:numId w:val="3"/>
        </w:numPr>
        <w:spacing w:before="40" w:after="60"/>
      </w:pPr>
      <w:r>
        <w:rPr>
          <w:rFonts w:ascii="Arial" w:cs="Arial" w:eastAsia="Arial" w:hAnsi="Arial"/>
          <w:color w:val="1E293B"/>
          <w:sz w:val="22"/>
          <w:szCs w:val="22"/>
        </w:rPr>
        <w:t xml:space="preserve">Enable financial inclusion for an estimated 30 million unbanked or underbanked Americans through accessible on-ramp mechanisms.</w:t>
      </w:r>
    </w:p>
    <w:p>
      <w:pPr>
        <w:spacing w:before="120" w:after="60"/>
      </w:pPr>
      <w:r>
        <w:t xml:space="preserve"/>
      </w:r>
    </w:p>
    <w:p>
      <w:pPr>
        <w:pStyle w:val="Heading2"/>
        <w:spacing w:before="240" w:after="120"/>
      </w:pPr>
      <w:r>
        <w:rPr>
          <w:rFonts w:ascii="Arial" w:cs="Arial" w:eastAsia="Arial" w:hAnsi="Arial"/>
          <w:b/>
          <w:bCs/>
          <w:color w:val="0D9488"/>
          <w:sz w:val="26"/>
          <w:szCs w:val="26"/>
        </w:rPr>
        <w:t xml:space="preserve">2.3 Relevance to the UK Context</w:t>
      </w:r>
    </w:p>
    <w:p>
      <w:pPr>
        <w:spacing w:before="60" w:after="120"/>
        <w:jc w:val="both"/>
      </w:pPr>
      <w:r>
        <w:rPr>
          <w:rFonts w:ascii="Arial" w:cs="Arial" w:eastAsia="Arial" w:hAnsi="Arial"/>
          <w:color w:val="1E293B"/>
          <w:sz w:val="22"/>
          <w:szCs w:val="22"/>
        </w:rPr>
        <w:t xml:space="preserve">For Emily Watson and her team, the National RTP System is directly relevant as a reference architecture. The UK's Faster Payments Service, operated by Pay.UK, shares many design principles and faces analogous challenges around scalability, fraud resilience, and ISO 20022 migration. The architectural patterns employed in the US RTP — particularly the event-driven processing model, API-first design, and layered fraud intelligence — offer practical benchmarks for UK infrastructure planning and vendor evaluation.</w:t>
      </w:r>
    </w:p>
    <w:p>
      <w:r>
        <w:br w:type="page"/>
      </w:r>
    </w:p>
    <w:p>
      <w:pPr>
        <w:pStyle w:val="Heading1"/>
        <w:pBdr>
          <w:bottom w:val="single" w:color="0D9488" w:sz="8" w:space="4"/>
        </w:pBdr>
        <w:spacing w:before="360" w:after="160"/>
      </w:pPr>
      <w:r>
        <w:rPr>
          <w:rFonts w:ascii="Arial" w:cs="Arial" w:eastAsia="Arial" w:hAnsi="Arial"/>
          <w:b/>
          <w:bCs/>
          <w:color w:val="1C3F6E"/>
          <w:sz w:val="32"/>
          <w:szCs w:val="32"/>
        </w:rPr>
        <w:t xml:space="preserve">3. System Architecture</w:t>
      </w:r>
    </w:p>
    <w:p>
      <w:pPr>
        <w:pStyle w:val="Heading2"/>
        <w:spacing w:before="240" w:after="120"/>
      </w:pPr>
      <w:r>
        <w:rPr>
          <w:rFonts w:ascii="Arial" w:cs="Arial" w:eastAsia="Arial" w:hAnsi="Arial"/>
          <w:b/>
          <w:bCs/>
          <w:color w:val="0D9488"/>
          <w:sz w:val="26"/>
          <w:szCs w:val="26"/>
        </w:rPr>
        <w:t xml:space="preserve">3.1 Architectural Philosophy</w:t>
      </w:r>
    </w:p>
    <w:p>
      <w:pPr>
        <w:spacing w:before="60" w:after="120"/>
        <w:jc w:val="both"/>
      </w:pPr>
      <w:r>
        <w:rPr>
          <w:rFonts w:ascii="Arial" w:cs="Arial" w:eastAsia="Arial" w:hAnsi="Arial"/>
          <w:color w:val="1E293B"/>
          <w:sz w:val="22"/>
          <w:szCs w:val="22"/>
        </w:rPr>
        <w:t xml:space="preserve">The National RTP System is designed on the principle of domain-driven, loosely coupled microservices. Each service encapsulates a discrete business domain (e.g., fraud assessment, liquidity management, message routing) and communicates through well-defined asynchronous event streams using Apache Kafka as the messaging backbone. This design ensures that individual service failures do not cascade, enabling graceful degradation and rapid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20"/>
              <w:bottom w:val="single" w:color="0D9488" w:sz="1"/>
              <w:right w:val="single" w:color="E2EDF7" w:sz="1"/>
            </w:tcBorders>
            <w:shd w:fill="EEF6F5" w:val="clear"/>
            <w:tcMar>
              <w:top w:type="dxa" w:w="100"/>
              <w:left w:type="dxa" w:w="180"/>
              <w:bottom w:type="dxa" w:w="100"/>
              <w:right w:type="dxa" w:w="120"/>
            </w:tcMar>
          </w:tcPr>
          <w:p>
            <w:pPr>
              <w:spacing w:before="0" w:after="0"/>
            </w:pPr>
            <w:r>
              <w:rPr>
                <w:rFonts w:ascii="Arial" w:cs="Arial" w:eastAsia="Arial" w:hAnsi="Arial"/>
                <w:color w:val="0D5E57"/>
                <w:sz w:val="22"/>
                <w:szCs w:val="22"/>
              </w:rPr>
              <w:t xml:space="preserve">The system favours event sourcing over direct database reads, maintaining an immutable event ledger that serves simultaneously as the transaction audit trail and the state reconstruction mechanism.</w:t>
            </w:r>
          </w:p>
        </w:tc>
      </w:tr>
    </w:tbl>
    <w:p>
      <w:pPr>
        <w:spacing w:before="120" w:after="60"/>
      </w:pPr>
      <w:r>
        <w:t xml:space="preserve"/>
      </w:r>
    </w:p>
    <w:p>
      <w:pPr>
        <w:pStyle w:val="Heading2"/>
        <w:spacing w:before="240" w:after="120"/>
      </w:pPr>
      <w:r>
        <w:rPr>
          <w:rFonts w:ascii="Arial" w:cs="Arial" w:eastAsia="Arial" w:hAnsi="Arial"/>
          <w:b/>
          <w:bCs/>
          <w:color w:val="0D9488"/>
          <w:sz w:val="26"/>
          <w:szCs w:val="26"/>
        </w:rPr>
        <w:t xml:space="preserve">3.2 Layered Architecture Overview</w:t>
      </w:r>
    </w:p>
    <w:p>
      <w:pPr>
        <w:spacing w:before="60" w:after="120"/>
        <w:jc w:val="both"/>
      </w:pPr>
      <w:r>
        <w:rPr>
          <w:rFonts w:ascii="Arial" w:cs="Arial" w:eastAsia="Arial" w:hAnsi="Arial"/>
          <w:color w:val="1E293B"/>
          <w:sz w:val="22"/>
          <w:szCs w:val="22"/>
        </w:rPr>
        <w:t xml:space="preserve">The architecture is organised into five discrete functional layers, each with clearly demarcated responsibilities and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100"/>
        <w:gridCol w:w="4060"/>
      </w:tblGrid>
      <w:tr>
        <w:tc>
          <w:tcPr>
            <w:tcW w:type="dxa" w:w="600"/>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1600"/>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3100"/>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Responsibility</w:t>
            </w:r>
          </w:p>
        </w:tc>
        <w:tc>
          <w:tcPr>
            <w:tcW w:type="dxa" w:w="4060"/>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 Stack</w:t>
            </w:r>
          </w:p>
        </w:tc>
      </w:tr>
      <w:tr>
        <w:tc>
          <w:tcPr>
            <w:tcW w:type="dxa" w:w="6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L1</w:t>
            </w:r>
          </w:p>
        </w:tc>
        <w:tc>
          <w:tcPr>
            <w:tcW w:type="dxa" w:w="16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Participant Layer</w:t>
            </w:r>
          </w:p>
        </w:tc>
        <w:tc>
          <w:tcPr>
            <w:tcW w:type="dxa" w:w="31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Bank/Fintech API integration, message origination</w:t>
            </w:r>
          </w:p>
        </w:tc>
        <w:tc>
          <w:tcPr>
            <w:tcW w:type="dxa" w:w="406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REST, ISO 20022 XML/JSON, OAuth 2.0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API Gateway</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Ingress control, auth, throttling, TLS termination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Kong Gateway, NGINX, AWS API GW</w:t>
            </w:r>
          </w:p>
        </w:tc>
      </w:tr>
      <w:tr>
        <w:tc>
          <w:tcPr>
            <w:tcW w:type="dxa" w:w="6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L3</w:t>
            </w:r>
          </w:p>
        </w:tc>
        <w:tc>
          <w:tcPr>
            <w:tcW w:type="dxa" w:w="16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Core Processing</w:t>
            </w:r>
          </w:p>
        </w:tc>
        <w:tc>
          <w:tcPr>
            <w:tcW w:type="dxa" w:w="31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Payment routing, fraud scoring, ledger management</w:t>
            </w:r>
          </w:p>
        </w:tc>
        <w:tc>
          <w:tcPr>
            <w:tcW w:type="dxa" w:w="406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Java Spring Boot, Kafka, Redis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Settlement Engine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RTGS integration, net settlement, liquidity pools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 Oracle RAC, FedWire adapters</w:t>
            </w:r>
          </w:p>
        </w:tc>
      </w:tr>
      <w:tr>
        <w:tc>
          <w:tcPr>
            <w:tcW w:type="dxa" w:w="6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L5</w:t>
            </w:r>
          </w:p>
        </w:tc>
        <w:tc>
          <w:tcPr>
            <w:tcW w:type="dxa" w:w="16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Data &amp; Compliance</w:t>
            </w:r>
          </w:p>
        </w:tc>
        <w:tc>
          <w:tcPr>
            <w:tcW w:type="dxa" w:w="31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AML/KYC screening, reporting, audit trail</w:t>
            </w:r>
          </w:p>
        </w:tc>
        <w:tc>
          <w:tcPr>
            <w:tcW w:type="dxa" w:w="406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Elasticsearch, Splunk, FinScan</w:t>
            </w:r>
          </w:p>
        </w:tc>
      </w:tr>
    </w:tbl>
    <w:p>
      <w:pPr>
        <w:spacing w:before="240" w:after="60"/>
      </w:pPr>
      <w:r>
        <w:t xml:space="preserve"/>
      </w:r>
    </w:p>
    <w:p>
      <w:pPr>
        <w:pStyle w:val="Heading2"/>
        <w:spacing w:before="240" w:after="120"/>
      </w:pPr>
      <w:r>
        <w:rPr>
          <w:rFonts w:ascii="Arial" w:cs="Arial" w:eastAsia="Arial" w:hAnsi="Arial"/>
          <w:b/>
          <w:bCs/>
          <w:color w:val="0D9488"/>
          <w:sz w:val="26"/>
          <w:szCs w:val="26"/>
        </w:rPr>
        <w:t xml:space="preserve">3.3 Data Flow Architecture</w:t>
      </w:r>
    </w:p>
    <w:p>
      <w:pPr>
        <w:spacing w:before="60" w:after="120"/>
        <w:jc w:val="both"/>
      </w:pPr>
      <w:r>
        <w:rPr>
          <w:rFonts w:ascii="Arial" w:cs="Arial" w:eastAsia="Arial" w:hAnsi="Arial"/>
          <w:color w:val="1E293B"/>
          <w:sz w:val="22"/>
          <w:szCs w:val="22"/>
        </w:rPr>
        <w:t xml:space="preserve">A typical payment traverses the system in the following sequence:</w:t>
      </w:r>
    </w:p>
    <w:p>
      <w:pPr>
        <w:pStyle w:val="ListParagraph"/>
        <w:numPr>
          <w:ilvl w:val="0"/>
          <w:numId w:val="3"/>
        </w:numPr>
        <w:spacing w:before="40" w:after="60"/>
      </w:pPr>
      <w:r>
        <w:rPr>
          <w:rFonts w:ascii="Arial" w:cs="Arial" w:eastAsia="Arial" w:hAnsi="Arial"/>
          <w:color w:val="1E293B"/>
          <w:sz w:val="22"/>
          <w:szCs w:val="22"/>
        </w:rPr>
        <w:t xml:space="preserve">The originating participant (bank, fintech, or merchant) submits an ISO 20022 pacs.008 message to the API Gateway via a secured, mutually authenticated HTTPS connection.</w:t>
      </w:r>
    </w:p>
    <w:p>
      <w:pPr>
        <w:pStyle w:val="ListParagraph"/>
        <w:numPr>
          <w:ilvl w:val="0"/>
          <w:numId w:val="3"/>
        </w:numPr>
        <w:spacing w:before="40" w:after="60"/>
      </w:pPr>
      <w:r>
        <w:rPr>
          <w:rFonts w:ascii="Arial" w:cs="Arial" w:eastAsia="Arial" w:hAnsi="Arial"/>
          <w:color w:val="1E293B"/>
          <w:sz w:val="22"/>
          <w:szCs w:val="22"/>
        </w:rPr>
        <w:t xml:space="preserve">The API Gateway performs JWT token validation, rate-limit enforcement, and TLS 1.3 handshake verification before forwarding the message to the message broker.</w:t>
      </w:r>
    </w:p>
    <w:p>
      <w:pPr>
        <w:pStyle w:val="ListParagraph"/>
        <w:numPr>
          <w:ilvl w:val="0"/>
          <w:numId w:val="3"/>
        </w:numPr>
        <w:spacing w:before="40" w:after="60"/>
      </w:pPr>
      <w:r>
        <w:rPr>
          <w:rFonts w:ascii="Arial" w:cs="Arial" w:eastAsia="Arial" w:hAnsi="Arial"/>
          <w:color w:val="1E293B"/>
          <w:sz w:val="22"/>
          <w:szCs w:val="22"/>
        </w:rPr>
        <w:t xml:space="preserve">The Fraud Engine consumes the event from Kafka within 50 milliseconds, applies a composite risk score using gradient-boosted machine learning models, and emits a pass/hold/reject determination.</w:t>
      </w:r>
    </w:p>
    <w:p>
      <w:pPr>
        <w:pStyle w:val="ListParagraph"/>
        <w:numPr>
          <w:ilvl w:val="0"/>
          <w:numId w:val="3"/>
        </w:numPr>
        <w:spacing w:before="40" w:after="60"/>
      </w:pPr>
      <w:r>
        <w:rPr>
          <w:rFonts w:ascii="Arial" w:cs="Arial" w:eastAsia="Arial" w:hAnsi="Arial"/>
          <w:color w:val="1E293B"/>
          <w:sz w:val="22"/>
          <w:szCs w:val="22"/>
        </w:rPr>
        <w:t xml:space="preserve">Upon a pass determination, the Payment Router resolves the destination institution using the RTP Directory Service and forwards the instruction to the Settlement Engine.</w:t>
      </w:r>
    </w:p>
    <w:p>
      <w:pPr>
        <w:pStyle w:val="ListParagraph"/>
        <w:numPr>
          <w:ilvl w:val="0"/>
          <w:numId w:val="3"/>
        </w:numPr>
        <w:spacing w:before="40" w:after="60"/>
      </w:pPr>
      <w:r>
        <w:rPr>
          <w:rFonts w:ascii="Arial" w:cs="Arial" w:eastAsia="Arial" w:hAnsi="Arial"/>
          <w:color w:val="1E293B"/>
          <w:sz w:val="22"/>
          <w:szCs w:val="22"/>
        </w:rPr>
        <w:t xml:space="preserve">The Settlement Engine performs a real-time gross settlement (RTGS) operation, debiting the sender's central bank reserve account and crediting the receiver's account within the defined settlement window.</w:t>
      </w:r>
    </w:p>
    <w:p>
      <w:pPr>
        <w:pStyle w:val="ListParagraph"/>
        <w:numPr>
          <w:ilvl w:val="0"/>
          <w:numId w:val="3"/>
        </w:numPr>
        <w:spacing w:before="40" w:after="60"/>
      </w:pPr>
      <w:r>
        <w:rPr>
          <w:rFonts w:ascii="Arial" w:cs="Arial" w:eastAsia="Arial" w:hAnsi="Arial"/>
          <w:color w:val="1E293B"/>
          <w:sz w:val="22"/>
          <w:szCs w:val="22"/>
        </w:rPr>
        <w:t xml:space="preserve">A confirmation message (ISO 20022 pacs.002) is returned to both the originating and receiving participants, completing the transaction.</w:t>
      </w:r>
    </w:p>
    <w:p>
      <w:pPr>
        <w:spacing w:before="120" w:after="60"/>
      </w:pPr>
      <w:r>
        <w:t xml:space="preserve"/>
      </w:r>
    </w:p>
    <w:p>
      <w:pPr>
        <w:spacing w:before="60" w:after="120"/>
        <w:jc w:val="both"/>
      </w:pPr>
      <w:r>
        <w:rPr>
          <w:rFonts w:ascii="Arial" w:cs="Arial" w:eastAsia="Arial" w:hAnsi="Arial"/>
          <w:color w:val="1E293B"/>
          <w:sz w:val="22"/>
          <w:szCs w:val="22"/>
        </w:rPr>
        <w:t xml:space="preserve">The entire sequence — from submission to confirmation — is engineered to complete within five seconds under normal load conditions, and within ten seconds at peak capacity (defined as 15,000 transactions per second).</w:t>
      </w:r>
    </w:p>
    <w:p>
      <w:pPr>
        <w:pStyle w:val="Heading2"/>
        <w:spacing w:before="240" w:after="120"/>
      </w:pPr>
      <w:r>
        <w:rPr>
          <w:rFonts w:ascii="Arial" w:cs="Arial" w:eastAsia="Arial" w:hAnsi="Arial"/>
          <w:b/>
          <w:bCs/>
          <w:color w:val="0D9488"/>
          <w:sz w:val="26"/>
          <w:szCs w:val="26"/>
        </w:rPr>
        <w:t xml:space="preserve">3.4 Deployment Architecture</w:t>
      </w:r>
    </w:p>
    <w:p>
      <w:pPr>
        <w:spacing w:before="60" w:after="120"/>
        <w:jc w:val="both"/>
      </w:pPr>
      <w:r>
        <w:rPr>
          <w:rFonts w:ascii="Arial" w:cs="Arial" w:eastAsia="Arial" w:hAnsi="Arial"/>
          <w:color w:val="1E293B"/>
          <w:sz w:val="22"/>
          <w:szCs w:val="22"/>
        </w:rPr>
        <w:t xml:space="preserve">The system is deployed across two geographically separated active-active data centres — one in the eastern United States and one in the western United States — with a third passive warm-standby site for disaster recovery. All compute is containerised using Kubernetes, with stateful services using persistent volumes backed by high-performance NVMe SSDs. The infrastructure is cloud-agnostic, with current deployments hosted on AWS GovCloud.</w:t>
      </w:r>
    </w:p>
    <w:p>
      <w:r>
        <w:br w:type="page"/>
      </w:r>
    </w:p>
    <w:p>
      <w:pPr>
        <w:pStyle w:val="Heading1"/>
        <w:pBdr>
          <w:bottom w:val="single" w:color="0D9488" w:sz="8" w:space="4"/>
        </w:pBdr>
        <w:spacing w:before="360" w:after="160"/>
      </w:pPr>
      <w:r>
        <w:rPr>
          <w:rFonts w:ascii="Arial" w:cs="Arial" w:eastAsia="Arial" w:hAnsi="Arial"/>
          <w:b/>
          <w:bCs/>
          <w:color w:val="1C3F6E"/>
          <w:sz w:val="32"/>
          <w:szCs w:val="32"/>
        </w:rPr>
        <w:t xml:space="preserve">4. Key System Components</w:t>
      </w:r>
    </w:p>
    <w:p>
      <w:pPr>
        <w:pStyle w:val="Heading2"/>
        <w:spacing w:before="240" w:after="120"/>
      </w:pPr>
      <w:r>
        <w:rPr>
          <w:rFonts w:ascii="Arial" w:cs="Arial" w:eastAsia="Arial" w:hAnsi="Arial"/>
          <w:b/>
          <w:bCs/>
          <w:color w:val="0D9488"/>
          <w:sz w:val="26"/>
          <w:szCs w:val="26"/>
        </w:rPr>
        <w:t xml:space="preserve">4.1 Payment Hub</w:t>
      </w:r>
    </w:p>
    <w:p>
      <w:pPr>
        <w:spacing w:before="60" w:after="120"/>
        <w:jc w:val="both"/>
      </w:pPr>
      <w:r>
        <w:rPr>
          <w:rFonts w:ascii="Arial" w:cs="Arial" w:eastAsia="Arial" w:hAnsi="Arial"/>
          <w:color w:val="1E293B"/>
          <w:sz w:val="22"/>
          <w:szCs w:val="22"/>
        </w:rPr>
        <w:t xml:space="preserve">The Payment Hub serves as the central orchestration engine of the RTP system. It is responsible for receiving validated payment instructions, determining routing logic, enforcing business rules, and coordinating with downstream services. The hub is implemented as a stateless Spring Boot microservice cluster with 48 replicas across the active-active deployment zones, capable of processing 10,000 transactions per second at p99 latency under 800 milliseconds.</w:t>
      </w:r>
    </w:p>
    <w:p>
      <w:pPr>
        <w:pStyle w:val="Heading2"/>
        <w:spacing w:before="240" w:after="120"/>
      </w:pPr>
      <w:r>
        <w:rPr>
          <w:rFonts w:ascii="Arial" w:cs="Arial" w:eastAsia="Arial" w:hAnsi="Arial"/>
          <w:b/>
          <w:bCs/>
          <w:color w:val="0D9488"/>
          <w:sz w:val="26"/>
          <w:szCs w:val="26"/>
        </w:rPr>
        <w:t xml:space="preserve">4.2 Fraud and Risk Engine</w:t>
      </w:r>
    </w:p>
    <w:p>
      <w:pPr>
        <w:spacing w:before="60" w:after="120"/>
        <w:jc w:val="both"/>
      </w:pPr>
      <w:r>
        <w:rPr>
          <w:rFonts w:ascii="Arial" w:cs="Arial" w:eastAsia="Arial" w:hAnsi="Arial"/>
          <w:color w:val="1E293B"/>
          <w:sz w:val="22"/>
          <w:szCs w:val="22"/>
        </w:rPr>
        <w:t xml:space="preserve">The Fraud Engine employs a multi-layered approach to real-time transaction risk assessment. At the network edge, velocity rules and sanction screening (using FinScan and OFAC lists) are applied within ten milliseconds. A gradient-boosted ensemble model (XGBoost + LightGBM) then scores the transaction against 147 behavioural features including device fingerprint, geolocation, transaction history, and counterparty network graph attributes. The engine achieves a false positive rate of under 0.3%, benchmarked against industry standards of 1.5%.</w:t>
      </w:r>
    </w:p>
    <w:p>
      <w:pPr>
        <w:pStyle w:val="Heading2"/>
        <w:spacing w:before="240" w:after="120"/>
      </w:pPr>
      <w:r>
        <w:rPr>
          <w:rFonts w:ascii="Arial" w:cs="Arial" w:eastAsia="Arial" w:hAnsi="Arial"/>
          <w:b/>
          <w:bCs/>
          <w:color w:val="0D9488"/>
          <w:sz w:val="26"/>
          <w:szCs w:val="26"/>
        </w:rPr>
        <w:t xml:space="preserve">4.3 ISO 20022 Messaging Layer</w:t>
      </w:r>
    </w:p>
    <w:p>
      <w:pPr>
        <w:spacing w:before="60" w:after="120"/>
        <w:jc w:val="both"/>
      </w:pPr>
      <w:r>
        <w:rPr>
          <w:rFonts w:ascii="Arial" w:cs="Arial" w:eastAsia="Arial" w:hAnsi="Arial"/>
          <w:color w:val="1E293B"/>
          <w:sz w:val="22"/>
          <w:szCs w:val="22"/>
        </w:rPr>
        <w:t xml:space="preserve">All inter-participant communication conforms to the ISO 20022 standard, specifically utilising the pacs (Payment Clearing and Settlement) message set. The platform supports the following message types:</w:t>
      </w:r>
    </w:p>
    <w:p>
      <w:pPr>
        <w:pStyle w:val="ListParagraph"/>
        <w:numPr>
          <w:ilvl w:val="0"/>
          <w:numId w:val="2"/>
        </w:numPr>
        <w:spacing w:before="40" w:after="60"/>
      </w:pPr>
      <w:r>
        <w:rPr>
          <w:rFonts w:ascii="Arial" w:cs="Arial" w:eastAsia="Arial" w:hAnsi="Arial"/>
          <w:color w:val="1E293B"/>
          <w:sz w:val="22"/>
          <w:szCs w:val="22"/>
        </w:rPr>
        <w:t xml:space="preserve">pacs.008 — Customer Credit Transfer Initiation</w:t>
      </w:r>
    </w:p>
    <w:p>
      <w:pPr>
        <w:pStyle w:val="ListParagraph"/>
        <w:numPr>
          <w:ilvl w:val="0"/>
          <w:numId w:val="2"/>
        </w:numPr>
        <w:spacing w:before="40" w:after="60"/>
      </w:pPr>
      <w:r>
        <w:rPr>
          <w:rFonts w:ascii="Arial" w:cs="Arial" w:eastAsia="Arial" w:hAnsi="Arial"/>
          <w:color w:val="1E293B"/>
          <w:sz w:val="22"/>
          <w:szCs w:val="22"/>
        </w:rPr>
        <w:t xml:space="preserve">pacs.002 — Payment Status Report</w:t>
      </w:r>
    </w:p>
    <w:p>
      <w:pPr>
        <w:pStyle w:val="ListParagraph"/>
        <w:numPr>
          <w:ilvl w:val="0"/>
          <w:numId w:val="2"/>
        </w:numPr>
        <w:spacing w:before="40" w:after="60"/>
      </w:pPr>
      <w:r>
        <w:rPr>
          <w:rFonts w:ascii="Arial" w:cs="Arial" w:eastAsia="Arial" w:hAnsi="Arial"/>
          <w:color w:val="1E293B"/>
          <w:sz w:val="22"/>
          <w:szCs w:val="22"/>
        </w:rPr>
        <w:t xml:space="preserve">pacs.004 — Payment Return</w:t>
      </w:r>
    </w:p>
    <w:p>
      <w:pPr>
        <w:pStyle w:val="ListParagraph"/>
        <w:numPr>
          <w:ilvl w:val="0"/>
          <w:numId w:val="2"/>
        </w:numPr>
        <w:spacing w:before="40" w:after="60"/>
      </w:pPr>
      <w:r>
        <w:rPr>
          <w:rFonts w:ascii="Arial" w:cs="Arial" w:eastAsia="Arial" w:hAnsi="Arial"/>
          <w:color w:val="1E293B"/>
          <w:sz w:val="22"/>
          <w:szCs w:val="22"/>
        </w:rPr>
        <w:t xml:space="preserve">camt.054 — Bank-to-Customer Debit/Credit Notification</w:t>
      </w:r>
    </w:p>
    <w:p>
      <w:pPr>
        <w:spacing w:before="120" w:after="60"/>
      </w:pPr>
      <w:r>
        <w:t xml:space="preserve"/>
      </w:r>
    </w:p>
    <w:p>
      <w:pPr>
        <w:spacing w:before="60" w:after="120"/>
        <w:jc w:val="both"/>
      </w:pPr>
      <w:r>
        <w:rPr>
          <w:rFonts w:ascii="Arial" w:cs="Arial" w:eastAsia="Arial" w:hAnsi="Arial"/>
          <w:color w:val="1E293B"/>
          <w:sz w:val="22"/>
          <w:szCs w:val="22"/>
        </w:rPr>
        <w:t xml:space="preserve">An ISO 20022 Translation Adapter provides backward compatibility for institutions still operating on legacy SWIFT MT message formats, ensuring a non-disruptive migration pathway for all member banks.</w:t>
      </w:r>
    </w:p>
    <w:p>
      <w:pPr>
        <w:pStyle w:val="Heading2"/>
        <w:spacing w:before="240" w:after="120"/>
      </w:pPr>
      <w:r>
        <w:rPr>
          <w:rFonts w:ascii="Arial" w:cs="Arial" w:eastAsia="Arial" w:hAnsi="Arial"/>
          <w:b/>
          <w:bCs/>
          <w:color w:val="0D9488"/>
          <w:sz w:val="26"/>
          <w:szCs w:val="26"/>
        </w:rPr>
        <w:t xml:space="preserve">4.4 Liquidity Management Module</w:t>
      </w:r>
    </w:p>
    <w:p>
      <w:pPr>
        <w:spacing w:before="60" w:after="120"/>
        <w:jc w:val="both"/>
      </w:pPr>
      <w:r>
        <w:rPr>
          <w:rFonts w:ascii="Arial" w:cs="Arial" w:eastAsia="Arial" w:hAnsi="Arial"/>
          <w:color w:val="1E293B"/>
          <w:sz w:val="22"/>
          <w:szCs w:val="22"/>
        </w:rPr>
        <w:t xml:space="preserve">The Liquidity Management Module monitors the intraday reserve positions of all participant institutions in real time. It integrates directly with the Federal Reserve's FedLine system to execute automated repo operations when a participant's liquidity falls below a predefined threshold. This prevents settlement failures during high-volume periods and provides treasury desks with sub-second position visibility.</w:t>
      </w:r>
    </w:p>
    <w:p>
      <w:pPr>
        <w:pStyle w:val="Heading2"/>
        <w:spacing w:before="240" w:after="120"/>
      </w:pPr>
      <w:r>
        <w:rPr>
          <w:rFonts w:ascii="Arial" w:cs="Arial" w:eastAsia="Arial" w:hAnsi="Arial"/>
          <w:b/>
          <w:bCs/>
          <w:color w:val="0D9488"/>
          <w:sz w:val="26"/>
          <w:szCs w:val="26"/>
        </w:rPr>
        <w:t xml:space="preserve">4.5 API Gateway and Developer Platform</w:t>
      </w:r>
    </w:p>
    <w:p>
      <w:pPr>
        <w:spacing w:before="60" w:after="120"/>
        <w:jc w:val="both"/>
      </w:pPr>
      <w:r>
        <w:rPr>
          <w:rFonts w:ascii="Arial" w:cs="Arial" w:eastAsia="Arial" w:hAnsi="Arial"/>
          <w:color w:val="1E293B"/>
          <w:sz w:val="22"/>
          <w:szCs w:val="22"/>
        </w:rPr>
        <w:t xml:space="preserve">The API Gateway is the single, hardened entry point for all external participants. It enforces the Financial-grade API (FAPI) 2.0 security profile, mandatory for open banking environments, and provides rate limiting, payload inspection, and certificate pinning. A companion Developer Portal, built on Backstage.io, offers interactive API documentation, sandbox environments, and a self-service onboarding workflow capable of provisioning a new participant within 72 hours.</w:t>
      </w:r>
    </w:p>
    <w:p>
      <w:r>
        <w:br w:type="page"/>
      </w:r>
    </w:p>
    <w:p>
      <w:pPr>
        <w:pStyle w:val="Heading1"/>
        <w:pBdr>
          <w:bottom w:val="single" w:color="0D9488" w:sz="8" w:space="4"/>
        </w:pBdr>
        <w:spacing w:before="360" w:after="160"/>
      </w:pPr>
      <w:r>
        <w:rPr>
          <w:rFonts w:ascii="Arial" w:cs="Arial" w:eastAsia="Arial" w:hAnsi="Arial"/>
          <w:b/>
          <w:bCs/>
          <w:color w:val="1C3F6E"/>
          <w:sz w:val="32"/>
          <w:szCs w:val="32"/>
        </w:rPr>
        <w:t xml:space="preserve">5. Security and Compliance Framework</w:t>
      </w:r>
    </w:p>
    <w:p>
      <w:pPr>
        <w:pStyle w:val="Heading2"/>
        <w:spacing w:before="240" w:after="120"/>
      </w:pPr>
      <w:r>
        <w:rPr>
          <w:rFonts w:ascii="Arial" w:cs="Arial" w:eastAsia="Arial" w:hAnsi="Arial"/>
          <w:b/>
          <w:bCs/>
          <w:color w:val="0D9488"/>
          <w:sz w:val="26"/>
          <w:szCs w:val="26"/>
        </w:rPr>
        <w:t xml:space="preserve">5.1 Security Architecture</w:t>
      </w:r>
    </w:p>
    <w:p>
      <w:pPr>
        <w:spacing w:before="60" w:after="120"/>
        <w:jc w:val="both"/>
      </w:pPr>
      <w:r>
        <w:rPr>
          <w:rFonts w:ascii="Arial" w:cs="Arial" w:eastAsia="Arial" w:hAnsi="Arial"/>
          <w:color w:val="1E293B"/>
          <w:sz w:val="22"/>
          <w:szCs w:val="22"/>
        </w:rPr>
        <w:t xml:space="preserve">Security is enforced at every layer of the stack in accordance with the NIST Cybersecurity Framework and the Federal Financial Institutions Examination Council (FFIEC) guidelines. The following controls are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Security Domain</w:t>
            </w:r>
          </w:p>
        </w:tc>
        <w:tc>
          <w:tcPr>
            <w:tcW w:type="dxa" w:w="4200"/>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Control Implemented</w:t>
            </w:r>
          </w:p>
        </w:tc>
        <w:tc>
          <w:tcPr>
            <w:tcW w:type="dxa" w:w="2960"/>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Standard / Regulation</w:t>
            </w:r>
          </w:p>
        </w:tc>
      </w:tr>
      <w:tr>
        <w:tc>
          <w:tcPr>
            <w:tcW w:type="dxa" w:w="22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Data at Rest</w:t>
            </w:r>
          </w:p>
        </w:tc>
        <w:tc>
          <w:tcPr>
            <w:tcW w:type="dxa" w:w="42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AES-256-GCM encryption with HSM-managed keys (FIPS 140-2 Level 3)</w:t>
            </w:r>
          </w:p>
        </w:tc>
        <w:tc>
          <w:tcPr>
            <w:tcW w:type="dxa" w:w="296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FIPS 140-2, PCI DSS 4.0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Data in Transit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TLS 1.3 with mutual certificate authentication (mTLS)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NIST SP 800-52</w:t>
            </w:r>
          </w:p>
        </w:tc>
      </w:tr>
      <w:tr>
        <w:tc>
          <w:tcPr>
            <w:tcW w:type="dxa" w:w="22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Identity &amp; Access</w:t>
            </w:r>
          </w:p>
        </w:tc>
        <w:tc>
          <w:tcPr>
            <w:tcW w:type="dxa" w:w="42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OAuth 2.0 + FAPI 2.0 + MFA mandatory for all participant accounts</w:t>
            </w:r>
          </w:p>
        </w:tc>
        <w:tc>
          <w:tcPr>
            <w:tcW w:type="dxa" w:w="296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FAPI 2.0, FFIEC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Intrusion Detection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Network-level IDS/IPS with ML-based anomaly detection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NIST SP 800-94</w:t>
            </w:r>
          </w:p>
        </w:tc>
      </w:tr>
      <w:tr>
        <w:tc>
          <w:tcPr>
            <w:tcW w:type="dxa" w:w="22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Key Management</w:t>
            </w:r>
          </w:p>
        </w:tc>
        <w:tc>
          <w:tcPr>
            <w:tcW w:type="dxa" w:w="42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Vault-based PKI with 90-day automatic certificate rotation</w:t>
            </w:r>
          </w:p>
        </w:tc>
        <w:tc>
          <w:tcPr>
            <w:tcW w:type="dxa" w:w="296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NIST SP 800-57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DDoS Mitigation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AWS Shield Advanced + CloudFront WAF with rate-based rules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FFIEC CAT</w:t>
            </w:r>
          </w:p>
        </w:tc>
      </w:tr>
      <w:tr>
        <w:tc>
          <w:tcPr>
            <w:tcW w:type="dxa" w:w="22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Penetration Testing</w:t>
            </w:r>
          </w:p>
        </w:tc>
        <w:tc>
          <w:tcPr>
            <w:tcW w:type="dxa" w:w="42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Bi-annual third-party red-team exercises + continuous bug bounty</w:t>
            </w:r>
          </w:p>
        </w:tc>
        <w:tc>
          <w:tcPr>
            <w:tcW w:type="dxa" w:w="296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PCI DSS, FFIEC</w:t>
            </w:r>
          </w:p>
        </w:tc>
      </w:tr>
    </w:tbl>
    <w:p>
      <w:pPr>
        <w:spacing w:before="240" w:after="60"/>
      </w:pPr>
      <w:r>
        <w:t xml:space="preserve"/>
      </w:r>
    </w:p>
    <w:p>
      <w:pPr>
        <w:pStyle w:val="Heading2"/>
        <w:spacing w:before="240" w:after="120"/>
      </w:pPr>
      <w:r>
        <w:rPr>
          <w:rFonts w:ascii="Arial" w:cs="Arial" w:eastAsia="Arial" w:hAnsi="Arial"/>
          <w:b/>
          <w:bCs/>
          <w:color w:val="0D9488"/>
          <w:sz w:val="26"/>
          <w:szCs w:val="26"/>
        </w:rPr>
        <w:t xml:space="preserve">5.2 Regulatory Compliance</w:t>
      </w:r>
    </w:p>
    <w:p>
      <w:pPr>
        <w:spacing w:before="60" w:after="120"/>
        <w:jc w:val="both"/>
      </w:pPr>
      <w:r>
        <w:rPr>
          <w:rFonts w:ascii="Arial" w:cs="Arial" w:eastAsia="Arial" w:hAnsi="Arial"/>
          <w:color w:val="1E293B"/>
          <w:sz w:val="22"/>
          <w:szCs w:val="22"/>
        </w:rPr>
        <w:t xml:space="preserve">The National RTP System has been designed in close collaboration with US regulatory bodies to ensure full compliance with all applicable laws and directives. Key regulatory alignments are as follows:</w:t>
      </w:r>
    </w:p>
    <w:p>
      <w:pPr>
        <w:pStyle w:val="ListParagraph"/>
        <w:numPr>
          <w:ilvl w:val="0"/>
          <w:numId w:val="2"/>
        </w:numPr>
        <w:spacing w:before="40" w:after="60"/>
      </w:pPr>
      <w:r>
        <w:rPr>
          <w:rFonts w:ascii="Arial" w:cs="Arial" w:eastAsia="Arial" w:hAnsi="Arial"/>
          <w:color w:val="1E293B"/>
          <w:sz w:val="22"/>
          <w:szCs w:val="22"/>
        </w:rPr>
        <w:t xml:space="preserve">Regulation E (Electronic Fund Transfer Act): All consumer-facing transactions include mandatory disclosure, error resolution procedures, and receipt generation.</w:t>
      </w:r>
    </w:p>
    <w:p>
      <w:pPr>
        <w:pStyle w:val="ListParagraph"/>
        <w:numPr>
          <w:ilvl w:val="0"/>
          <w:numId w:val="2"/>
        </w:numPr>
        <w:spacing w:before="40" w:after="60"/>
      </w:pPr>
      <w:r>
        <w:rPr>
          <w:rFonts w:ascii="Arial" w:cs="Arial" w:eastAsia="Arial" w:hAnsi="Arial"/>
          <w:color w:val="1E293B"/>
          <w:sz w:val="22"/>
          <w:szCs w:val="22"/>
        </w:rPr>
        <w:t xml:space="preserve">Bank Secrecy Act (BSA) / Anti-Money Laundering (AML): Automated transaction monitoring screens all payments against dynamic typology models, with suspicious activity reporting automated to FinCEN.</w:t>
      </w:r>
    </w:p>
    <w:p>
      <w:pPr>
        <w:pStyle w:val="ListParagraph"/>
        <w:numPr>
          <w:ilvl w:val="0"/>
          <w:numId w:val="2"/>
        </w:numPr>
        <w:spacing w:before="40" w:after="60"/>
      </w:pPr>
      <w:r>
        <w:rPr>
          <w:rFonts w:ascii="Arial" w:cs="Arial" w:eastAsia="Arial" w:hAnsi="Arial"/>
          <w:color w:val="1E293B"/>
          <w:sz w:val="22"/>
          <w:szCs w:val="22"/>
        </w:rPr>
        <w:t xml:space="preserve">Dodd-Frank Section 1073: Cross-border transactions include pre-payment disclosure of fees, exchange rates, and delivery timelines.</w:t>
      </w:r>
    </w:p>
    <w:p>
      <w:pPr>
        <w:pStyle w:val="ListParagraph"/>
        <w:numPr>
          <w:ilvl w:val="0"/>
          <w:numId w:val="2"/>
        </w:numPr>
        <w:spacing w:before="40" w:after="60"/>
      </w:pPr>
      <w:r>
        <w:rPr>
          <w:rFonts w:ascii="Arial" w:cs="Arial" w:eastAsia="Arial" w:hAnsi="Arial"/>
          <w:color w:val="1E293B"/>
          <w:sz w:val="22"/>
          <w:szCs w:val="22"/>
        </w:rPr>
        <w:t xml:space="preserve">Sarbanes-Oxley (SOX): Financial reporting integrity is maintained via immutable event logs with cryptographic integrity verification.</w:t>
      </w:r>
    </w:p>
    <w:p>
      <w:pPr>
        <w:spacing w:before="120" w:after="60"/>
      </w:pPr>
      <w:r>
        <w:t xml:space="preserve"/>
      </w:r>
    </w:p>
    <w:p>
      <w:pPr>
        <w:pStyle w:val="Heading2"/>
        <w:spacing w:before="240" w:after="120"/>
      </w:pPr>
      <w:r>
        <w:rPr>
          <w:rFonts w:ascii="Arial" w:cs="Arial" w:eastAsia="Arial" w:hAnsi="Arial"/>
          <w:b/>
          <w:bCs/>
          <w:color w:val="0D9488"/>
          <w:sz w:val="26"/>
          <w:szCs w:val="26"/>
        </w:rPr>
        <w:t xml:space="preserve">5.3 Business Continuity and Resilience</w:t>
      </w:r>
    </w:p>
    <w:p>
      <w:pPr>
        <w:spacing w:before="60" w:after="120"/>
        <w:jc w:val="both"/>
      </w:pPr>
      <w:r>
        <w:rPr>
          <w:rFonts w:ascii="Arial" w:cs="Arial" w:eastAsia="Arial" w:hAnsi="Arial"/>
          <w:color w:val="1E293B"/>
          <w:sz w:val="22"/>
          <w:szCs w:val="22"/>
        </w:rPr>
        <w:t xml:space="preserve">The system is designed to meet a Recovery Time Objective (RTO) of 15 minutes and a Recovery Point Objective (RPO) of zero for all transactional data. This is achieved through:</w:t>
      </w:r>
    </w:p>
    <w:p>
      <w:pPr>
        <w:pStyle w:val="ListParagraph"/>
        <w:numPr>
          <w:ilvl w:val="0"/>
          <w:numId w:val="2"/>
        </w:numPr>
        <w:spacing w:before="40" w:after="60"/>
      </w:pPr>
      <w:r>
        <w:rPr>
          <w:rFonts w:ascii="Arial" w:cs="Arial" w:eastAsia="Arial" w:hAnsi="Arial"/>
          <w:color w:val="1E293B"/>
          <w:sz w:val="22"/>
          <w:szCs w:val="22"/>
        </w:rPr>
        <w:t xml:space="preserve">Active-active multi-region deployment with synchronous data replication across availability zones.</w:t>
      </w:r>
    </w:p>
    <w:p>
      <w:pPr>
        <w:pStyle w:val="ListParagraph"/>
        <w:numPr>
          <w:ilvl w:val="0"/>
          <w:numId w:val="2"/>
        </w:numPr>
        <w:spacing w:before="40" w:after="60"/>
      </w:pPr>
      <w:r>
        <w:rPr>
          <w:rFonts w:ascii="Arial" w:cs="Arial" w:eastAsia="Arial" w:hAnsi="Arial"/>
          <w:color w:val="1E293B"/>
          <w:sz w:val="22"/>
          <w:szCs w:val="22"/>
        </w:rPr>
        <w:t xml:space="preserve">Automated failover orchestrated by Kubernetes health probes, capable of rerouting traffic within 30 seconds of a zone failure.</w:t>
      </w:r>
    </w:p>
    <w:p>
      <w:pPr>
        <w:pStyle w:val="ListParagraph"/>
        <w:numPr>
          <w:ilvl w:val="0"/>
          <w:numId w:val="2"/>
        </w:numPr>
        <w:spacing w:before="40" w:after="60"/>
      </w:pPr>
      <w:r>
        <w:rPr>
          <w:rFonts w:ascii="Arial" w:cs="Arial" w:eastAsia="Arial" w:hAnsi="Arial"/>
          <w:color w:val="1E293B"/>
          <w:sz w:val="22"/>
          <w:szCs w:val="22"/>
        </w:rPr>
        <w:t xml:space="preserve">A monthly Disaster Recovery exercise programme simulating both partial and total data-centre outages, with documented evidence provided to regulators annually.</w:t>
      </w:r>
    </w:p>
    <w:p>
      <w:r>
        <w:br w:type="page"/>
      </w:r>
    </w:p>
    <w:p>
      <w:pPr>
        <w:pStyle w:val="Heading1"/>
        <w:pBdr>
          <w:bottom w:val="single" w:color="0D9488" w:sz="8" w:space="4"/>
        </w:pBdr>
        <w:spacing w:before="360" w:after="160"/>
      </w:pPr>
      <w:r>
        <w:rPr>
          <w:rFonts w:ascii="Arial" w:cs="Arial" w:eastAsia="Arial" w:hAnsi="Arial"/>
          <w:b/>
          <w:bCs/>
          <w:color w:val="1C3F6E"/>
          <w:sz w:val="32"/>
          <w:szCs w:val="32"/>
        </w:rPr>
        <w:t xml:space="preserve">6. Integration Architecture and API Specification</w:t>
      </w:r>
    </w:p>
    <w:p>
      <w:pPr>
        <w:pStyle w:val="Heading2"/>
        <w:spacing w:before="240" w:after="120"/>
      </w:pPr>
      <w:r>
        <w:rPr>
          <w:rFonts w:ascii="Arial" w:cs="Arial" w:eastAsia="Arial" w:hAnsi="Arial"/>
          <w:b/>
          <w:bCs/>
          <w:color w:val="0D9488"/>
          <w:sz w:val="26"/>
          <w:szCs w:val="26"/>
        </w:rPr>
        <w:t xml:space="preserve">6.1 Integration Patterns</w:t>
      </w:r>
    </w:p>
    <w:p>
      <w:pPr>
        <w:spacing w:before="60" w:after="120"/>
        <w:jc w:val="both"/>
      </w:pPr>
      <w:r>
        <w:rPr>
          <w:rFonts w:ascii="Arial" w:cs="Arial" w:eastAsia="Arial" w:hAnsi="Arial"/>
          <w:color w:val="1E293B"/>
          <w:sz w:val="22"/>
          <w:szCs w:val="22"/>
        </w:rPr>
        <w:t xml:space="preserve">The RTP system supports three primary integration patterns, accommodating the varied technical maturity of participant institutions:</w:t>
      </w:r>
    </w:p>
    <w:p>
      <w:pPr>
        <w:spacing w:before="180" w:after="80"/>
      </w:pPr>
      <w:r>
        <w:rPr>
          <w:rFonts w:ascii="Arial" w:cs="Arial" w:eastAsia="Arial" w:hAnsi="Arial"/>
          <w:b/>
          <w:bCs/>
          <w:color w:val="1E293B"/>
          <w:sz w:val="22"/>
          <w:szCs w:val="22"/>
        </w:rPr>
        <w:t xml:space="preserve">6.1.1 Direct API Integration</w:t>
      </w:r>
    </w:p>
    <w:p>
      <w:pPr>
        <w:spacing w:before="60" w:after="120"/>
        <w:jc w:val="both"/>
      </w:pPr>
      <w:r>
        <w:rPr>
          <w:rFonts w:ascii="Arial" w:cs="Arial" w:eastAsia="Arial" w:hAnsi="Arial"/>
          <w:color w:val="1E293B"/>
          <w:sz w:val="22"/>
          <w:szCs w:val="22"/>
        </w:rPr>
        <w:t xml:space="preserve">Institutions with modern core banking platforms may integrate directly via RESTful APIs, using JSON-encoded ISO 20022 messages. This pattern offers the lowest latency and is recommended for institutions processing more than 50,000 transactions per day.</w:t>
      </w:r>
    </w:p>
    <w:p>
      <w:pPr>
        <w:spacing w:before="180" w:after="80"/>
      </w:pPr>
      <w:r>
        <w:rPr>
          <w:rFonts w:ascii="Arial" w:cs="Arial" w:eastAsia="Arial" w:hAnsi="Arial"/>
          <w:b/>
          <w:bCs/>
          <w:color w:val="1E293B"/>
          <w:sz w:val="22"/>
          <w:szCs w:val="22"/>
        </w:rPr>
        <w:t xml:space="preserve">6.1.2 Message Queue Integration</w:t>
      </w:r>
    </w:p>
    <w:p>
      <w:pPr>
        <w:spacing w:before="60" w:after="120"/>
        <w:jc w:val="both"/>
      </w:pPr>
      <w:r>
        <w:rPr>
          <w:rFonts w:ascii="Arial" w:cs="Arial" w:eastAsia="Arial" w:hAnsi="Arial"/>
          <w:color w:val="1E293B"/>
          <w:sz w:val="22"/>
          <w:szCs w:val="22"/>
        </w:rPr>
        <w:t xml:space="preserve">Institutions preferring an asynchronous, decoupled integration model may connect via a dedicated IBM MQ or RabbitMQ broker endpoint. This is suited to institutions with batch-oriented internal systems that are transitioning incrementally to real-time processing.</w:t>
      </w:r>
    </w:p>
    <w:p>
      <w:pPr>
        <w:spacing w:before="180" w:after="80"/>
      </w:pPr>
      <w:r>
        <w:rPr>
          <w:rFonts w:ascii="Arial" w:cs="Arial" w:eastAsia="Arial" w:hAnsi="Arial"/>
          <w:b/>
          <w:bCs/>
          <w:color w:val="1E293B"/>
          <w:sz w:val="22"/>
          <w:szCs w:val="22"/>
        </w:rPr>
        <w:t xml:space="preserve">6.1.3 Hosted Connectivity (White-label)</w:t>
      </w:r>
    </w:p>
    <w:p>
      <w:pPr>
        <w:spacing w:before="60" w:after="120"/>
        <w:jc w:val="both"/>
      </w:pPr>
      <w:r>
        <w:rPr>
          <w:rFonts w:ascii="Arial" w:cs="Arial" w:eastAsia="Arial" w:hAnsi="Arial"/>
          <w:color w:val="1E293B"/>
          <w:sz w:val="22"/>
          <w:szCs w:val="22"/>
        </w:rPr>
        <w:t xml:space="preserve">Community banks and credit unions with limited internal API capabilities may utilise a hosted connectivity service, where a certified third-party technology provider manages the RTP interface on behalf of the institution. This reduces the technical barrier to entry and accelerates onboarding timelines.</w:t>
      </w:r>
    </w:p>
    <w:p>
      <w:pPr>
        <w:pStyle w:val="Heading2"/>
        <w:spacing w:before="240" w:after="120"/>
      </w:pPr>
      <w:r>
        <w:rPr>
          <w:rFonts w:ascii="Arial" w:cs="Arial" w:eastAsia="Arial" w:hAnsi="Arial"/>
          <w:b/>
          <w:bCs/>
          <w:color w:val="0D9488"/>
          <w:sz w:val="26"/>
          <w:szCs w:val="26"/>
        </w:rPr>
        <w:t xml:space="preserve">6.2 API Technical Specifications</w:t>
      </w:r>
    </w:p>
    <w:p>
      <w:pPr>
        <w:spacing w:before="60" w:after="120"/>
        <w:jc w:val="both"/>
      </w:pPr>
      <w:r>
        <w:rPr>
          <w:rFonts w:ascii="Arial" w:cs="Arial" w:eastAsia="Arial" w:hAnsi="Arial"/>
          <w:color w:val="1E293B"/>
          <w:sz w:val="22"/>
          <w:szCs w:val="22"/>
        </w:rPr>
        <w:t xml:space="preserve">The following table summarises the core API parameters relevant to Emily Watson's technical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5860"/>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Specification</w:t>
            </w:r>
          </w:p>
        </w:tc>
      </w:tr>
      <w:tr>
        <w:tc>
          <w:tcPr>
            <w:tcW w:type="dxa" w:w="35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Protocol</w:t>
            </w:r>
          </w:p>
        </w:tc>
        <w:tc>
          <w:tcPr>
            <w:tcW w:type="dxa" w:w="586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HTTPS with mutual TLS (mTLS)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Authentication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OAuth 2.0 Bearer Token (FAPI 2.0 profile)</w:t>
            </w:r>
          </w:p>
        </w:tc>
      </w:tr>
      <w:tr>
        <w:tc>
          <w:tcPr>
            <w:tcW w:type="dxa" w:w="35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Message Format</w:t>
            </w:r>
          </w:p>
        </w:tc>
        <w:tc>
          <w:tcPr>
            <w:tcW w:type="dxa" w:w="586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JSON (ISO 20022 pacs.008, pacs.002)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Encoding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UTF-8</w:t>
            </w:r>
          </w:p>
        </w:tc>
      </w:tr>
      <w:tr>
        <w:tc>
          <w:tcPr>
            <w:tcW w:type="dxa" w:w="35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Max Payload Size</w:t>
            </w:r>
          </w:p>
        </w:tc>
        <w:tc>
          <w:tcPr>
            <w:tcW w:type="dxa" w:w="586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512 KB per message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Throughput (guaranteed)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500 TPS per participant connection</w:t>
            </w:r>
          </w:p>
        </w:tc>
      </w:tr>
      <w:tr>
        <w:tc>
          <w:tcPr>
            <w:tcW w:type="dxa" w:w="35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Throughput (burst)</w:t>
            </w:r>
          </w:p>
        </w:tc>
        <w:tc>
          <w:tcPr>
            <w:tcW w:type="dxa" w:w="586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2,000 TPS for up to 60 seconds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Idempotency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Enforced via EndToEndIdentification field (max 35 chars)</w:t>
            </w:r>
          </w:p>
        </w:tc>
      </w:tr>
      <w:tr>
        <w:tc>
          <w:tcPr>
            <w:tcW w:type="dxa" w:w="35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API Versioning</w:t>
            </w:r>
          </w:p>
        </w:tc>
        <w:tc>
          <w:tcPr>
            <w:tcW w:type="dxa" w:w="586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URI-based (/v1/, /v2/); minimum 12-month deprecation notice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SLA Availability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99.999% (&lt; 5.25 min/year downtime)</w:t>
            </w:r>
          </w:p>
        </w:tc>
      </w:tr>
      <w:tr>
        <w:tc>
          <w:tcPr>
            <w:tcW w:type="dxa" w:w="35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Sandbox</w:t>
            </w:r>
          </w:p>
        </w:tc>
        <w:tc>
          <w:tcPr>
            <w:tcW w:type="dxa" w:w="586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Available; data reset every 24 hours</w:t>
            </w:r>
          </w:p>
        </w:tc>
      </w:tr>
    </w:tbl>
    <w:p>
      <w:pPr>
        <w:spacing w:before="240" w:after="60"/>
      </w:pPr>
      <w:r>
        <w:t xml:space="preserve"/>
      </w:r>
    </w:p>
    <w:p>
      <w:r>
        <w:br w:type="page"/>
      </w:r>
    </w:p>
    <w:p>
      <w:pPr>
        <w:pStyle w:val="Heading1"/>
        <w:pBdr>
          <w:bottom w:val="single" w:color="0D9488" w:sz="8" w:space="4"/>
        </w:pBdr>
        <w:spacing w:before="360" w:after="160"/>
      </w:pPr>
      <w:r>
        <w:rPr>
          <w:rFonts w:ascii="Arial" w:cs="Arial" w:eastAsia="Arial" w:hAnsi="Arial"/>
          <w:b/>
          <w:bCs/>
          <w:color w:val="1C3F6E"/>
          <w:sz w:val="32"/>
          <w:szCs w:val="32"/>
        </w:rPr>
        <w:t xml:space="preserve">7. Implementation and Migration Strategy</w:t>
      </w:r>
    </w:p>
    <w:p>
      <w:pPr>
        <w:pStyle w:val="Heading2"/>
        <w:spacing w:before="240" w:after="120"/>
      </w:pPr>
      <w:r>
        <w:rPr>
          <w:rFonts w:ascii="Arial" w:cs="Arial" w:eastAsia="Arial" w:hAnsi="Arial"/>
          <w:b/>
          <w:bCs/>
          <w:color w:val="0D9488"/>
          <w:sz w:val="26"/>
          <w:szCs w:val="26"/>
        </w:rPr>
        <w:t xml:space="preserve">7.1 Phased Roll-out Plan</w:t>
      </w:r>
    </w:p>
    <w:p>
      <w:pPr>
        <w:spacing w:before="60" w:after="120"/>
        <w:jc w:val="both"/>
      </w:pPr>
      <w:r>
        <w:rPr>
          <w:rFonts w:ascii="Arial" w:cs="Arial" w:eastAsia="Arial" w:hAnsi="Arial"/>
          <w:color w:val="1E293B"/>
          <w:sz w:val="22"/>
          <w:szCs w:val="22"/>
        </w:rPr>
        <w:t xml:space="preserve">The implementation follows a three-phase programme spanning 2026 to 2027, with a parallel decommissioning timeline for legacy ACH settlement 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600"/>
        <w:gridCol w:w="2360"/>
      </w:tblGrid>
      <w:tr>
        <w:tc>
          <w:tcPr>
            <w:tcW w:type="dxa" w:w="1600"/>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1800"/>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Period</w:t>
            </w:r>
          </w:p>
        </w:tc>
        <w:tc>
          <w:tcPr>
            <w:tcW w:type="dxa" w:w="3600"/>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Scope</w:t>
            </w:r>
          </w:p>
        </w:tc>
        <w:tc>
          <w:tcPr>
            <w:tcW w:type="dxa" w:w="2360"/>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Success Metric</w:t>
            </w:r>
          </w:p>
        </w:tc>
      </w:tr>
      <w:tr>
        <w:tc>
          <w:tcPr>
            <w:tcW w:type="dxa" w:w="16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Phase 1 — Foundation</w:t>
            </w:r>
          </w:p>
        </w:tc>
        <w:tc>
          <w:tcPr>
            <w:tcW w:type="dxa" w:w="18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Q1–Q2 2026</w:t>
            </w:r>
          </w:p>
        </w:tc>
        <w:tc>
          <w:tcPr>
            <w:tcW w:type="dxa" w:w="36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Core infrastructure build, API gateway, 50 pilot banks onboarded</w:t>
            </w:r>
          </w:p>
        </w:tc>
        <w:tc>
          <w:tcPr>
            <w:tcW w:type="dxa" w:w="236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&lt; 5 sec settlement for 99% of pilot txns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Phase 2 — Expansion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Q3–Q4 2026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2,500 institutions live; consumer mobile apps; ISO 20022 full adoption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99.9% uptime; &lt; 0.5% fraud rate</w:t>
            </w:r>
          </w:p>
        </w:tc>
      </w:tr>
      <w:tr>
        <w:tc>
          <w:tcPr>
            <w:tcW w:type="dxa" w:w="16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Phase 3 — Scale</w:t>
            </w:r>
          </w:p>
        </w:tc>
        <w:tc>
          <w:tcPr>
            <w:tcW w:type="dxa" w:w="18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2027</w:t>
            </w:r>
          </w:p>
        </w:tc>
        <w:tc>
          <w:tcPr>
            <w:tcW w:type="dxa" w:w="360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All 10,000+ institutions; government agency integration; international corridors</w:t>
            </w:r>
          </w:p>
        </w:tc>
        <w:tc>
          <w:tcPr>
            <w:tcW w:type="dxa" w:w="2360"/>
            <w:tcBorders>
              <w:top w:val="single" w:color="CCCCCC" w:sz="1"/>
              <w:left w:val="single" w:color="CCCCCC" w:sz="1"/>
              <w:bottom w:val="single" w:color="CCCCCC" w:sz="1"/>
              <w:right w:val="single" w:color="CCCCCC" w:sz="1"/>
            </w:tcBorders>
            <w:shd w:fill="E2EDF7" w:val="clear"/>
            <w:tcMar>
              <w:top w:type="dxa" w:w="80"/>
              <w:left w:type="dxa" w:w="120"/>
              <w:bottom w:type="dxa" w:w="80"/>
              <w:right w:type="dxa" w:w="120"/>
            </w:tcMar>
          </w:tcPr>
          <w:p>
            <w:pPr>
              <w:jc w:val="left"/>
            </w:pPr>
            <w:r>
              <w:rPr>
                <w:rFonts w:ascii="Arial" w:cs="Arial" w:eastAsia="Arial" w:hAnsi="Arial"/>
                <w:color w:val="1E293B"/>
                <w:sz w:val="20"/>
                <w:szCs w:val="20"/>
              </w:rPr>
              <w:t xml:space="preserve">$5T annual volume processed; 99.999% SLA met</w:t>
            </w:r>
          </w:p>
        </w:tc>
      </w:tr>
    </w:tbl>
    <w:p>
      <w:pPr>
        <w:spacing w:before="240" w:after="60"/>
      </w:pPr>
      <w:r>
        <w:t xml:space="preserve"/>
      </w:r>
    </w:p>
    <w:p>
      <w:pPr>
        <w:pStyle w:val="Heading2"/>
        <w:spacing w:before="240" w:after="120"/>
      </w:pPr>
      <w:r>
        <w:rPr>
          <w:rFonts w:ascii="Arial" w:cs="Arial" w:eastAsia="Arial" w:hAnsi="Arial"/>
          <w:b/>
          <w:bCs/>
          <w:color w:val="0D9488"/>
          <w:sz w:val="26"/>
          <w:szCs w:val="26"/>
        </w:rPr>
        <w:t xml:space="preserve">7.2 Integration Onboarding Process</w:t>
      </w:r>
    </w:p>
    <w:p>
      <w:pPr>
        <w:spacing w:before="60" w:after="120"/>
        <w:jc w:val="both"/>
      </w:pPr>
      <w:r>
        <w:rPr>
          <w:rFonts w:ascii="Arial" w:cs="Arial" w:eastAsia="Arial" w:hAnsi="Arial"/>
          <w:color w:val="1E293B"/>
          <w:sz w:val="22"/>
          <w:szCs w:val="22"/>
        </w:rPr>
        <w:t xml:space="preserve">For institutions such as Emily Watson's organisation seeking to integrate, the formal onboarding process encompasses the following stages:</w:t>
      </w:r>
    </w:p>
    <w:p>
      <w:pPr>
        <w:pStyle w:val="ListParagraph"/>
        <w:numPr>
          <w:ilvl w:val="0"/>
          <w:numId w:val="3"/>
        </w:numPr>
        <w:spacing w:before="40" w:after="60"/>
      </w:pPr>
      <w:r>
        <w:rPr>
          <w:rFonts w:ascii="Arial" w:cs="Arial" w:eastAsia="Arial" w:hAnsi="Arial"/>
          <w:color w:val="1E293B"/>
          <w:sz w:val="22"/>
          <w:szCs w:val="22"/>
        </w:rPr>
        <w:t xml:space="preserve">Application and certification — submit institution credentials, AML/KYC documentation, and technical capability declaration.</w:t>
      </w:r>
    </w:p>
    <w:p>
      <w:pPr>
        <w:pStyle w:val="ListParagraph"/>
        <w:numPr>
          <w:ilvl w:val="0"/>
          <w:numId w:val="3"/>
        </w:numPr>
        <w:spacing w:before="40" w:after="60"/>
      </w:pPr>
      <w:r>
        <w:rPr>
          <w:rFonts w:ascii="Arial" w:cs="Arial" w:eastAsia="Arial" w:hAnsi="Arial"/>
          <w:color w:val="1E293B"/>
          <w:sz w:val="22"/>
          <w:szCs w:val="22"/>
        </w:rPr>
        <w:t xml:space="preserve">Sandbox access and development — receive API keys and sandbox endpoint for 60-day development and testing period.</w:t>
      </w:r>
    </w:p>
    <w:p>
      <w:pPr>
        <w:pStyle w:val="ListParagraph"/>
        <w:numPr>
          <w:ilvl w:val="0"/>
          <w:numId w:val="3"/>
        </w:numPr>
        <w:spacing w:before="40" w:after="60"/>
      </w:pPr>
      <w:r>
        <w:rPr>
          <w:rFonts w:ascii="Arial" w:cs="Arial" w:eastAsia="Arial" w:hAnsi="Arial"/>
          <w:color w:val="1E293B"/>
          <w:sz w:val="22"/>
          <w:szCs w:val="22"/>
        </w:rPr>
        <w:t xml:space="preserve">Conformance testing — execute mandatory test suite covering 120 message scenarios, including edge cases and failure modes.</w:t>
      </w:r>
    </w:p>
    <w:p>
      <w:pPr>
        <w:pStyle w:val="ListParagraph"/>
        <w:numPr>
          <w:ilvl w:val="0"/>
          <w:numId w:val="3"/>
        </w:numPr>
        <w:spacing w:before="40" w:after="60"/>
      </w:pPr>
      <w:r>
        <w:rPr>
          <w:rFonts w:ascii="Arial" w:cs="Arial" w:eastAsia="Arial" w:hAnsi="Arial"/>
          <w:color w:val="1E293B"/>
          <w:sz w:val="22"/>
          <w:szCs w:val="22"/>
        </w:rPr>
        <w:t xml:space="preserve">Security audit — third-party penetration test of the institution's integration layer.</w:t>
      </w:r>
    </w:p>
    <w:p>
      <w:pPr>
        <w:pStyle w:val="ListParagraph"/>
        <w:numPr>
          <w:ilvl w:val="0"/>
          <w:numId w:val="3"/>
        </w:numPr>
        <w:spacing w:before="40" w:after="60"/>
      </w:pPr>
      <w:r>
        <w:rPr>
          <w:rFonts w:ascii="Arial" w:cs="Arial" w:eastAsia="Arial" w:hAnsi="Arial"/>
          <w:color w:val="1E293B"/>
          <w:sz w:val="22"/>
          <w:szCs w:val="22"/>
        </w:rPr>
        <w:t xml:space="preserve">Parallel running — process live transactions in parallel with ACH for a defined period of 30 days.</w:t>
      </w:r>
    </w:p>
    <w:p>
      <w:pPr>
        <w:pStyle w:val="ListParagraph"/>
        <w:numPr>
          <w:ilvl w:val="0"/>
          <w:numId w:val="3"/>
        </w:numPr>
        <w:spacing w:before="40" w:after="60"/>
      </w:pPr>
      <w:r>
        <w:rPr>
          <w:rFonts w:ascii="Arial" w:cs="Arial" w:eastAsia="Arial" w:hAnsi="Arial"/>
          <w:color w:val="1E293B"/>
          <w:sz w:val="22"/>
          <w:szCs w:val="22"/>
        </w:rPr>
        <w:t xml:space="preserve">Go-live certification — regulatory sign-off and full production activation.</w:t>
      </w:r>
    </w:p>
    <w:p>
      <w:pPr>
        <w:pStyle w:val="Heading2"/>
        <w:spacing w:before="240" w:after="120"/>
      </w:pPr>
      <w:r>
        <w:rPr>
          <w:rFonts w:ascii="Arial" w:cs="Arial" w:eastAsia="Arial" w:hAnsi="Arial"/>
          <w:b/>
          <w:bCs/>
          <w:color w:val="0D9488"/>
          <w:sz w:val="26"/>
          <w:szCs w:val="26"/>
        </w:rPr>
        <w:t xml:space="preserve">7.3 Risk Considerations for UK Institutions</w:t>
      </w:r>
    </w:p>
    <w:p>
      <w:pPr>
        <w:spacing w:before="60" w:after="120"/>
        <w:jc w:val="both"/>
      </w:pPr>
      <w:r>
        <w:rPr>
          <w:rFonts w:ascii="Arial" w:cs="Arial" w:eastAsia="Arial" w:hAnsi="Arial"/>
          <w:color w:val="1E293B"/>
          <w:sz w:val="22"/>
          <w:szCs w:val="22"/>
        </w:rPr>
        <w:t xml:space="preserve">Emily Watson's team should be aware of the following risks specific to cross-border integration with the US National RTP System:</w:t>
      </w:r>
    </w:p>
    <w:p>
      <w:pPr>
        <w:pStyle w:val="ListParagraph"/>
        <w:numPr>
          <w:ilvl w:val="0"/>
          <w:numId w:val="2"/>
        </w:numPr>
        <w:spacing w:before="40" w:after="60"/>
      </w:pPr>
      <w:r>
        <w:rPr>
          <w:rFonts w:ascii="Arial" w:cs="Arial" w:eastAsia="Arial" w:hAnsi="Arial"/>
          <w:color w:val="1E293B"/>
          <w:sz w:val="22"/>
          <w:szCs w:val="22"/>
        </w:rPr>
        <w:t xml:space="preserve">Jurisdictional compliance: Transactions originating from or destined for UK-regulated entities must comply with both FCA regulations and US FinCEN requirements simultaneously.</w:t>
      </w:r>
    </w:p>
    <w:p>
      <w:pPr>
        <w:pStyle w:val="ListParagraph"/>
        <w:numPr>
          <w:ilvl w:val="0"/>
          <w:numId w:val="2"/>
        </w:numPr>
        <w:spacing w:before="40" w:after="60"/>
      </w:pPr>
      <w:r>
        <w:rPr>
          <w:rFonts w:ascii="Arial" w:cs="Arial" w:eastAsia="Arial" w:hAnsi="Arial"/>
          <w:color w:val="1E293B"/>
          <w:sz w:val="22"/>
          <w:szCs w:val="22"/>
        </w:rPr>
        <w:t xml:space="preserve">Latency overhead: Cross-Atlantic routing introduces approximately 80–120ms of additional network latency, which may affect the guaranteed 5-second SLA for international corridors.</w:t>
      </w:r>
    </w:p>
    <w:p>
      <w:pPr>
        <w:pStyle w:val="ListParagraph"/>
        <w:numPr>
          <w:ilvl w:val="0"/>
          <w:numId w:val="2"/>
        </w:numPr>
        <w:spacing w:before="40" w:after="60"/>
      </w:pPr>
      <w:r>
        <w:rPr>
          <w:rFonts w:ascii="Arial" w:cs="Arial" w:eastAsia="Arial" w:hAnsi="Arial"/>
          <w:color w:val="1E293B"/>
          <w:sz w:val="22"/>
          <w:szCs w:val="22"/>
        </w:rPr>
        <w:t xml:space="preserve">Data residency: UK GDPR and the UK Data Protection Act 2018 impose restrictions on personal data leaving the UK. A UK-domiciled data processing arrangement must be in place.</w:t>
      </w:r>
    </w:p>
    <w:p>
      <w:pPr>
        <w:pStyle w:val="ListParagraph"/>
        <w:numPr>
          <w:ilvl w:val="0"/>
          <w:numId w:val="2"/>
        </w:numPr>
        <w:spacing w:before="40" w:after="60"/>
      </w:pPr>
      <w:r>
        <w:rPr>
          <w:rFonts w:ascii="Arial" w:cs="Arial" w:eastAsia="Arial" w:hAnsi="Arial"/>
          <w:color w:val="1E293B"/>
          <w:sz w:val="22"/>
          <w:szCs w:val="22"/>
        </w:rPr>
        <w:t xml:space="preserve">Currency conversion: The RTP system processes USD-denominated transactions natively; currency conversion services are available via partner FX providers but introduce additional counterparty risk.</w:t>
      </w:r>
    </w:p>
    <w:p>
      <w:r>
        <w:br w:type="page"/>
      </w:r>
    </w:p>
    <w:p>
      <w:pPr>
        <w:pStyle w:val="Heading1"/>
        <w:pBdr>
          <w:bottom w:val="single" w:color="0D9488" w:sz="8" w:space="4"/>
        </w:pBdr>
        <w:spacing w:before="360" w:after="160"/>
      </w:pPr>
      <w:r>
        <w:rPr>
          <w:rFonts w:ascii="Arial" w:cs="Arial" w:eastAsia="Arial" w:hAnsi="Arial"/>
          <w:b/>
          <w:bCs/>
          <w:color w:val="1C3F6E"/>
          <w:sz w:val="32"/>
          <w:szCs w:val="32"/>
        </w:rPr>
        <w:t xml:space="preserve">8. Conclusions and Recommendations</w:t>
      </w:r>
    </w:p>
    <w:p>
      <w:pPr>
        <w:pStyle w:val="Heading2"/>
        <w:spacing w:before="240" w:after="120"/>
      </w:pPr>
      <w:r>
        <w:rPr>
          <w:rFonts w:ascii="Arial" w:cs="Arial" w:eastAsia="Arial" w:hAnsi="Arial"/>
          <w:b/>
          <w:bCs/>
          <w:color w:val="0D9488"/>
          <w:sz w:val="26"/>
          <w:szCs w:val="26"/>
        </w:rPr>
        <w:t xml:space="preserve">8.1 Summary of Findings</w:t>
      </w:r>
    </w:p>
    <w:p>
      <w:pPr>
        <w:spacing w:before="60" w:after="120"/>
        <w:jc w:val="both"/>
      </w:pPr>
      <w:r>
        <w:rPr>
          <w:rFonts w:ascii="Arial" w:cs="Arial" w:eastAsia="Arial" w:hAnsi="Arial"/>
          <w:color w:val="1E293B"/>
          <w:sz w:val="22"/>
          <w:szCs w:val="22"/>
        </w:rPr>
        <w:t xml:space="preserve">The National Real-Time Payments System represents a technically mature, enterprise-grade infrastructure that demonstrates best-in-class application of modern architectural principles: event-driven design, API-first integration, ISO 20022 standardisation, and zero-trust security. It is the most comprehensive national payments modernisation initiative currently in production globally.</w:t>
      </w:r>
    </w:p>
    <w:p>
      <w:pPr>
        <w:spacing w:before="60" w:after="120"/>
        <w:jc w:val="both"/>
      </w:pPr>
      <w:r>
        <w:rPr>
          <w:rFonts w:ascii="Arial" w:cs="Arial" w:eastAsia="Arial" w:hAnsi="Arial"/>
          <w:color w:val="1E293B"/>
          <w:sz w:val="22"/>
          <w:szCs w:val="22"/>
        </w:rPr>
        <w:t xml:space="preserve">From a technical leadership perspective, the architecture is particularly instructive in the following respects:</w:t>
      </w:r>
    </w:p>
    <w:p>
      <w:pPr>
        <w:pStyle w:val="ListParagraph"/>
        <w:numPr>
          <w:ilvl w:val="0"/>
          <w:numId w:val="2"/>
        </w:numPr>
        <w:spacing w:before="40" w:after="60"/>
      </w:pPr>
      <w:r>
        <w:rPr>
          <w:rFonts w:ascii="Arial" w:cs="Arial" w:eastAsia="Arial" w:hAnsi="Arial"/>
          <w:color w:val="1E293B"/>
          <w:sz w:val="22"/>
          <w:szCs w:val="22"/>
        </w:rPr>
        <w:t xml:space="preserve">The use of the Saga pattern for distributed transaction coordination, avoiding two-phase commit and its associated bottlenecks.</w:t>
      </w:r>
    </w:p>
    <w:p>
      <w:pPr>
        <w:pStyle w:val="ListParagraph"/>
        <w:numPr>
          <w:ilvl w:val="0"/>
          <w:numId w:val="2"/>
        </w:numPr>
        <w:spacing w:before="40" w:after="60"/>
      </w:pPr>
      <w:r>
        <w:rPr>
          <w:rFonts w:ascii="Arial" w:cs="Arial" w:eastAsia="Arial" w:hAnsi="Arial"/>
          <w:color w:val="1E293B"/>
          <w:sz w:val="22"/>
          <w:szCs w:val="22"/>
        </w:rPr>
        <w:t xml:space="preserve">The implementation of a CQRS (Command Query Responsibility Segregation) model that separates write-path transaction processing from read-path analytics, enabling independent scaling.</w:t>
      </w:r>
    </w:p>
    <w:p>
      <w:pPr>
        <w:pStyle w:val="ListParagraph"/>
        <w:numPr>
          <w:ilvl w:val="0"/>
          <w:numId w:val="2"/>
        </w:numPr>
        <w:spacing w:before="40" w:after="60"/>
      </w:pPr>
      <w:r>
        <w:rPr>
          <w:rFonts w:ascii="Arial" w:cs="Arial" w:eastAsia="Arial" w:hAnsi="Arial"/>
          <w:color w:val="1E293B"/>
          <w:sz w:val="22"/>
          <w:szCs w:val="22"/>
        </w:rPr>
        <w:t xml:space="preserve">The event sourcing approach that provides an immutable audit trail without requiring a separate logging infrastructure.</w:t>
      </w:r>
    </w:p>
    <w:p>
      <w:pPr>
        <w:pStyle w:val="Heading2"/>
        <w:spacing w:before="240" w:after="120"/>
      </w:pPr>
      <w:r>
        <w:rPr>
          <w:rFonts w:ascii="Arial" w:cs="Arial" w:eastAsia="Arial" w:hAnsi="Arial"/>
          <w:b/>
          <w:bCs/>
          <w:color w:val="0D9488"/>
          <w:sz w:val="26"/>
          <w:szCs w:val="26"/>
        </w:rPr>
        <w:t xml:space="preserve">8.2 Recommendations for Emily Watson and Her Technical Team</w:t>
      </w:r>
    </w:p>
    <w:p>
      <w:pPr>
        <w:spacing w:before="60" w:after="120"/>
        <w:jc w:val="both"/>
      </w:pPr>
      <w:r>
        <w:rPr>
          <w:rFonts w:ascii="Arial" w:cs="Arial" w:eastAsia="Arial" w:hAnsi="Arial"/>
          <w:color w:val="1E293B"/>
          <w:sz w:val="22"/>
          <w:szCs w:val="22"/>
        </w:rPr>
        <w:t xml:space="preserve">Based on the architecture review, the following recommendations are proposed for the UK technical team's consideration:</w:t>
      </w:r>
    </w:p>
    <w:p>
      <w:pPr>
        <w:pStyle w:val="ListParagraph"/>
        <w:numPr>
          <w:ilvl w:val="0"/>
          <w:numId w:val="3"/>
        </w:numPr>
        <w:spacing w:before="40" w:after="60"/>
      </w:pPr>
      <w:r>
        <w:rPr>
          <w:rFonts w:ascii="Arial" w:cs="Arial" w:eastAsia="Arial" w:hAnsi="Arial"/>
          <w:color w:val="1E293B"/>
          <w:sz w:val="22"/>
          <w:szCs w:val="22"/>
        </w:rPr>
        <w:t xml:space="preserve">Conduct an architectural alignment workshop between the RTP reference architecture and the current UK payment infrastructure to identify reusable patterns and capability gaps.</w:t>
      </w:r>
    </w:p>
    <w:p>
      <w:pPr>
        <w:pStyle w:val="ListParagraph"/>
        <w:numPr>
          <w:ilvl w:val="0"/>
          <w:numId w:val="3"/>
        </w:numPr>
        <w:spacing w:before="40" w:after="60"/>
      </w:pPr>
      <w:r>
        <w:rPr>
          <w:rFonts w:ascii="Arial" w:cs="Arial" w:eastAsia="Arial" w:hAnsi="Arial"/>
          <w:color w:val="1E293B"/>
          <w:sz w:val="22"/>
          <w:szCs w:val="22"/>
        </w:rPr>
        <w:t xml:space="preserve">Prioritise ISO 20022 migration for all internal messaging systems by Q4 2026, as this is a prerequisite for any future interoperability with the US RTP corridor.</w:t>
      </w:r>
    </w:p>
    <w:p>
      <w:pPr>
        <w:pStyle w:val="ListParagraph"/>
        <w:numPr>
          <w:ilvl w:val="0"/>
          <w:numId w:val="3"/>
        </w:numPr>
        <w:spacing w:before="40" w:after="60"/>
      </w:pPr>
      <w:r>
        <w:rPr>
          <w:rFonts w:ascii="Arial" w:cs="Arial" w:eastAsia="Arial" w:hAnsi="Arial"/>
          <w:color w:val="1E293B"/>
          <w:sz w:val="22"/>
          <w:szCs w:val="22"/>
        </w:rPr>
        <w:t xml:space="preserve">Evaluate the Saga and CQRS patterns for any internal payment microservices modernisation projects currently on the roadmap.</w:t>
      </w:r>
    </w:p>
    <w:p>
      <w:pPr>
        <w:pStyle w:val="ListParagraph"/>
        <w:numPr>
          <w:ilvl w:val="0"/>
          <w:numId w:val="3"/>
        </w:numPr>
        <w:spacing w:before="40" w:after="60"/>
      </w:pPr>
      <w:r>
        <w:rPr>
          <w:rFonts w:ascii="Arial" w:cs="Arial" w:eastAsia="Arial" w:hAnsi="Arial"/>
          <w:color w:val="1E293B"/>
          <w:sz w:val="22"/>
          <w:szCs w:val="22"/>
        </w:rPr>
        <w:t xml:space="preserve">Establish a bilateral working group with the US RTP programme team to explore a transatlantic RTP corridor under the FCA's Innovation Sandbox framework.</w:t>
      </w:r>
    </w:p>
    <w:p>
      <w:pPr>
        <w:pStyle w:val="ListParagraph"/>
        <w:numPr>
          <w:ilvl w:val="0"/>
          <w:numId w:val="3"/>
        </w:numPr>
        <w:spacing w:before="40" w:after="60"/>
      </w:pPr>
      <w:r>
        <w:rPr>
          <w:rFonts w:ascii="Arial" w:cs="Arial" w:eastAsia="Arial" w:hAnsi="Arial"/>
          <w:color w:val="1E293B"/>
          <w:sz w:val="22"/>
          <w:szCs w:val="22"/>
        </w:rPr>
        <w:t xml:space="preserve">Commission a Data Protection Impact Assessment (DPIA) to determine the legal basis for cross-border RTP data flows under UK GDPR prior to any integration activities.</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20"/>
              <w:bottom w:val="single" w:color="0D9488" w:sz="1"/>
              <w:right w:val="single" w:color="E2EDF7" w:sz="1"/>
            </w:tcBorders>
            <w:shd w:fill="EEF6F5" w:val="clear"/>
            <w:tcMar>
              <w:top w:type="dxa" w:w="100"/>
              <w:left w:type="dxa" w:w="180"/>
              <w:bottom w:type="dxa" w:w="100"/>
              <w:right w:type="dxa" w:w="120"/>
            </w:tcMar>
          </w:tcPr>
          <w:p>
            <w:pPr>
              <w:spacing w:before="0" w:after="0"/>
            </w:pPr>
            <w:r>
              <w:rPr>
                <w:rFonts w:ascii="Arial" w:cs="Arial" w:eastAsia="Arial" w:hAnsi="Arial"/>
                <w:color w:val="0D5E57"/>
                <w:sz w:val="22"/>
                <w:szCs w:val="22"/>
              </w:rPr>
              <w:t xml:space="preserve">The architectural patterns demonstrated in the National RTP System are directly applicable to the UK's ongoing New Payments Architecture (NPA) programme. Emily Watson's team is encouraged to position this case study as a reference point in NPA design discussions with Pay.UK and the PSR.</w:t>
            </w:r>
          </w:p>
        </w:tc>
      </w:tr>
    </w:tbl>
    <w:p>
      <w:pPr>
        <w:pStyle w:val="Heading2"/>
        <w:spacing w:before="240" w:after="120"/>
      </w:pPr>
      <w:r>
        <w:rPr>
          <w:rFonts w:ascii="Arial" w:cs="Arial" w:eastAsia="Arial" w:hAnsi="Arial"/>
          <w:b/>
          <w:bCs/>
          <w:color w:val="0D9488"/>
          <w:sz w:val="26"/>
          <w:szCs w:val="26"/>
        </w:rPr>
        <w:t xml:space="preserve">8.3 Closing Statement</w:t>
      </w:r>
    </w:p>
    <w:p>
      <w:pPr>
        <w:spacing w:before="60" w:after="120"/>
        <w:jc w:val="both"/>
      </w:pPr>
      <w:r>
        <w:rPr>
          <w:rFonts w:ascii="Arial" w:cs="Arial" w:eastAsia="Arial" w:hAnsi="Arial"/>
          <w:color w:val="1E293B"/>
          <w:sz w:val="22"/>
          <w:szCs w:val="22"/>
        </w:rPr>
        <w:t xml:space="preserve">The National Real-Time Payments System is more than a technology project — it is a foundational economic infrastructure investment. Its architecture is rigorous, its standards are globally aligned, and its operational design reflects hard-won lessons from earlier real-time payment deployments including the UK's FPS and India's UPI. This report has endeavoured to provide Emily Watson and her technical team with the depth of analysis required to make informed decisions regarding engagement, integration planning, and architectural benchmarking.</w:t>
      </w:r>
    </w:p>
    <w:p>
      <w:pPr>
        <w:spacing w:before="60" w:after="120"/>
        <w:jc w:val="both"/>
      </w:pPr>
      <w:r>
        <w:rPr>
          <w:rFonts w:ascii="Arial" w:cs="Arial" w:eastAsia="Arial" w:hAnsi="Arial"/>
          <w:color w:val="1E293B"/>
          <w:sz w:val="22"/>
          <w:szCs w:val="22"/>
        </w:rPr>
        <w:t xml:space="preserve">Should further technical consultation be required, the ATS Immune programme team welcomes a follow-up discussion at Emily Watson's earliest convenience.</w:t>
      </w:r>
    </w:p>
    <w:p>
      <w:pPr>
        <w:spacing w:before="240" w:after="60"/>
      </w:pPr>
      <w:r>
        <w:t xml:space="preserve"/>
      </w:r>
    </w:p>
    <w:p>
      <w:pPr>
        <w:jc w:val="right"/>
      </w:pPr>
      <w:r>
        <w:rPr>
          <w:rFonts w:ascii="Arial" w:cs="Arial" w:eastAsia="Arial" w:hAnsi="Arial"/>
          <w:color w:val="64748B"/>
          <w:sz w:val="20"/>
          <w:szCs w:val="20"/>
        </w:rPr>
        <w:t xml:space="preserve">— ATS Immune, Architecture Foundation Faculty</w:t>
      </w:r>
    </w:p>
    <w:p>
      <w:pPr>
        <w:jc w:val="right"/>
      </w:pPr>
      <w:r>
        <w:rPr>
          <w:rFonts w:ascii="Arial" w:cs="Arial" w:eastAsia="Arial" w:hAnsi="Arial"/>
          <w:color w:val="64748B"/>
          <w:sz w:val="18"/>
          <w:szCs w:val="18"/>
        </w:rPr>
        <w:t xml:space="preserve">© 2026 UNEXT Learning Pvt Ltd</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6500"/>
      <w:gridCol w:w="2886"/>
    </w:tblGrid>
    <w:tr>
      <w:tc>
        <w:tcPr>
          <w:tcW w:type="dxa" w:w="6500"/>
          <w:tcBorders>
            <w:top w:val="single" w:color="0D9488" w:sz="1"/>
            <w:left w:val="none"/>
            <w:bottom w:val="none"/>
            <w:right w:val="none"/>
          </w:tcBorders>
          <w:tcMar>
            <w:top w:type="dxa" w:w="60"/>
          </w:tcMar>
        </w:tcPr>
        <w:p>
          <w:r>
            <w:rPr>
              <w:rFonts w:ascii="Arial" w:cs="Arial" w:eastAsia="Arial" w:hAnsi="Arial"/>
              <w:color w:val="64748B"/>
              <w:sz w:val="14"/>
              <w:szCs w:val="14"/>
            </w:rPr>
            <w:t xml:space="preserve">© 2026 UNEXT Learning Pvt Ltd  |  ATS Immune  |  Architecture Foundation</w:t>
          </w:r>
        </w:p>
      </w:tc>
      <w:tc>
        <w:tcPr>
          <w:tcW w:type="dxa" w:w="2886"/>
          <w:tcBorders>
            <w:top w:val="single" w:color="0D9488" w:sz="1"/>
            <w:left w:val="none"/>
            <w:bottom w:val="none"/>
            <w:right w:val="none"/>
          </w:tcBorders>
          <w:tcMar>
            <w:top w:type="dxa" w:w="60"/>
          </w:tcMar>
        </w:tcPr>
        <w:p>
          <w:pPr>
            <w:jc w:val="right"/>
          </w:pPr>
          <w:r>
            <w:rPr>
              <w:rFonts w:ascii="Arial" w:cs="Arial" w:eastAsia="Arial" w:hAnsi="Arial"/>
              <w:color w:val="64748B"/>
              <w:sz w:val="14"/>
              <w:szCs w:val="14"/>
            </w:rPr>
            <w:t xml:space="preserve">Page </w:t>
          </w:r>
          <w:pgNum/>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7000"/>
      <w:gridCol w:w="2386"/>
    </w:tblGrid>
    <w:tr>
      <w:tc>
        <w:tcPr>
          <w:tcW w:type="dxa" w:w="7000"/>
          <w:tcBorders>
            <w:top w:val="none"/>
            <w:left w:val="none"/>
            <w:bottom w:val="single" w:color="0D9488" w:sz="1"/>
            <w:right w:val="none"/>
          </w:tcBorders>
          <w:tcMar>
            <w:bottom w:type="dxa" w:w="60"/>
          </w:tcMar>
        </w:tcPr>
        <w:p>
          <w:r>
            <w:rPr>
              <w:rFonts w:ascii="Arial" w:cs="Arial" w:eastAsia="Arial" w:hAnsi="Arial"/>
              <w:color w:val="64748B"/>
              <w:sz w:val="16"/>
              <w:szCs w:val="16"/>
            </w:rPr>
            <w:t xml:space="preserve">National Real-Time Payments System — Technical Architecture Report</w:t>
          </w:r>
        </w:p>
      </w:tc>
      <w:tc>
        <w:tcPr>
          <w:tcW w:type="dxa" w:w="2386"/>
          <w:tcBorders>
            <w:top w:val="none"/>
            <w:left w:val="none"/>
            <w:bottom w:val="single" w:color="0D9488" w:sz="1"/>
            <w:right w:val="none"/>
          </w:tcBorders>
          <w:tcMar>
            <w:bottom w:type="dxa" w:w="60"/>
          </w:tcMar>
        </w:tcPr>
        <w:p>
          <w:pPr>
            <w:jc w:val="right"/>
          </w:pPr>
          <w:r>
            <w:rPr>
              <w:rFonts w:ascii="Arial" w:cs="Arial" w:eastAsia="Arial" w:hAnsi="Arial"/>
              <w:b/>
              <w:bCs/>
              <w:color w:val="0D9488"/>
              <w:sz w:val="16"/>
              <w:szCs w:val="16"/>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C3F6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D94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2026-02-26T09:44:03.643Z</dcterms:created>
  <dcterms:modified xsi:type="dcterms:W3CDTF">2026-02-26T09:44:03.644Z</dcterms:modified>
</cp:coreProperties>
</file>

<file path=docProps/custom.xml><?xml version="1.0" encoding="utf-8"?>
<Properties xmlns="http://schemas.openxmlformats.org/officeDocument/2006/custom-properties" xmlns:vt="http://schemas.openxmlformats.org/officeDocument/2006/docPropsVTypes"/>
</file>