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38C49" w14:textId="03E9F431" w:rsidR="00275C9E" w:rsidRPr="00275C9E" w:rsidRDefault="00275C9E" w:rsidP="00275C9E">
      <w:pPr>
        <w:rPr>
          <w:b/>
          <w:bCs/>
        </w:rPr>
      </w:pPr>
      <w:r w:rsidRPr="00275C9E">
        <w:rPr>
          <w:b/>
          <w:bCs/>
        </w:rPr>
        <w:t xml:space="preserve">Student Name: </w:t>
      </w:r>
      <w:r w:rsidRPr="00275C9E">
        <w:rPr>
          <w:b/>
          <w:bCs/>
        </w:rPr>
        <w:t>Sailaja Sankisa</w:t>
      </w:r>
    </w:p>
    <w:p w14:paraId="6EC972A8" w14:textId="4149B3EC" w:rsidR="00275C9E" w:rsidRPr="00275C9E" w:rsidRDefault="00275C9E" w:rsidP="00275C9E">
      <w:pPr>
        <w:rPr>
          <w:b/>
          <w:bCs/>
        </w:rPr>
      </w:pPr>
      <w:r w:rsidRPr="00275C9E">
        <w:rPr>
          <w:b/>
          <w:bCs/>
        </w:rPr>
        <w:t>Course: Architecture Foundation</w:t>
      </w:r>
    </w:p>
    <w:p w14:paraId="41408255" w14:textId="77777777" w:rsidR="00275C9E" w:rsidRPr="00275C9E" w:rsidRDefault="00275C9E" w:rsidP="00275C9E">
      <w:pPr>
        <w:rPr>
          <w:b/>
          <w:bCs/>
        </w:rPr>
      </w:pPr>
      <w:r w:rsidRPr="00275C9E">
        <w:rPr>
          <w:b/>
          <w:bCs/>
        </w:rPr>
        <w:t>Assignment: Architectural Design Document – National Real-Time Payments System</w:t>
      </w:r>
    </w:p>
    <w:p w14:paraId="62D4BCEF" w14:textId="77777777" w:rsidR="00275C9E" w:rsidRPr="00275C9E" w:rsidRDefault="00275C9E" w:rsidP="00275C9E">
      <w:pPr>
        <w:rPr>
          <w:b/>
          <w:bCs/>
        </w:rPr>
      </w:pPr>
      <w:r w:rsidRPr="00275C9E">
        <w:rPr>
          <w:b/>
          <w:bCs/>
        </w:rPr>
        <w:t>1. Systems and Subsystems (Structural View)</w:t>
      </w:r>
    </w:p>
    <w:p w14:paraId="166116A9" w14:textId="77777777" w:rsidR="00275C9E" w:rsidRDefault="00275C9E" w:rsidP="00275C9E">
      <w:r>
        <w:t>Following the Separation of Concerns (SoC) principle, the architecture is divided into three logical tiers:</w:t>
      </w:r>
    </w:p>
    <w:p w14:paraId="25AF1236" w14:textId="77777777" w:rsidR="00275C9E" w:rsidRDefault="00275C9E" w:rsidP="00275C9E">
      <w:r>
        <w:t>Presentation Tier (Edge): Mobile/Web/POS gateways utilizing an API Gateway Pattern for cross-cutting concerns like authentication, rate-limiting, and protocol translation.</w:t>
      </w:r>
    </w:p>
    <w:p w14:paraId="485A59AA" w14:textId="77777777" w:rsidR="00275C9E" w:rsidRDefault="00275C9E" w:rsidP="00275C9E">
      <w:r>
        <w:t>Application Tier (Core Services): A Microservices Architecture comprising:</w:t>
      </w:r>
    </w:p>
    <w:p w14:paraId="4D2EA380" w14:textId="77777777" w:rsidR="00275C9E" w:rsidRDefault="00275C9E" w:rsidP="00275C9E">
      <w:r>
        <w:t>Transaction Orchestrator: Manages state machines for payments.</w:t>
      </w:r>
    </w:p>
    <w:p w14:paraId="1143500D" w14:textId="77777777" w:rsidR="00275C9E" w:rsidRDefault="00275C9E" w:rsidP="00275C9E">
      <w:r>
        <w:t>External Adapter Service: Implements the Adapter Pattern to abstract diverse banking interfaces into a unified internal format.</w:t>
      </w:r>
    </w:p>
    <w:p w14:paraId="5E62C170" w14:textId="77777777" w:rsidR="00275C9E" w:rsidRDefault="00275C9E" w:rsidP="00275C9E">
      <w:r>
        <w:t>Identity &amp; Registry: A centralized service for KYC and account-to-alias mapping.</w:t>
      </w:r>
    </w:p>
    <w:p w14:paraId="0DA3C0CE" w14:textId="77777777" w:rsidR="00275C9E" w:rsidRDefault="00275C9E" w:rsidP="00275C9E">
      <w:r>
        <w:t>Data Tier (Persistence): A Polyglot Persistence strategy using Distributed SQL (for ACID-compliant ledgering) and NoSQL (for high-volume audit logs).</w:t>
      </w:r>
    </w:p>
    <w:p w14:paraId="5E284D84" w14:textId="77777777" w:rsidR="00275C9E" w:rsidRPr="00275C9E" w:rsidRDefault="00275C9E" w:rsidP="00275C9E">
      <w:pPr>
        <w:rPr>
          <w:b/>
          <w:bCs/>
        </w:rPr>
      </w:pPr>
      <w:r w:rsidRPr="00275C9E">
        <w:rPr>
          <w:b/>
          <w:bCs/>
        </w:rPr>
        <w:t>2. Information Exchange (Communication Patterns)</w:t>
      </w:r>
    </w:p>
    <w:p w14:paraId="4B32A103" w14:textId="77777777" w:rsidR="00275C9E" w:rsidRDefault="00275C9E" w:rsidP="00275C9E">
      <w:r>
        <w:t>The system utilizes a hybrid communication model to balance latency and reliability:</w:t>
      </w:r>
    </w:p>
    <w:p w14:paraId="7057C4AE" w14:textId="77777777" w:rsidR="00275C9E" w:rsidRDefault="00275C9E" w:rsidP="00275C9E">
      <w:r>
        <w:t>Synchronous (Request-Response): Used for critical path operations like user authentication and fund availability checks where immediate feedback is required.</w:t>
      </w:r>
    </w:p>
    <w:p w14:paraId="72214A2F" w14:textId="77777777" w:rsidR="00275C9E" w:rsidRDefault="00275C9E" w:rsidP="00275C9E">
      <w:r>
        <w:t>Asynchronous (Event-Driven): Utilizes an Event Bus (e.g., Kafka) for non-blocking downstream tasks such as notifications, fraud scoring, and analytics. This ensures the 2-second latency target for the core transaction.</w:t>
      </w:r>
    </w:p>
    <w:p w14:paraId="0227DA66" w14:textId="77777777" w:rsidR="00275C9E" w:rsidRDefault="00275C9E" w:rsidP="00275C9E">
      <w:r>
        <w:t>Batch Exchange: Scheduled ETL processes for inter-bank settlement and regulatory reporting.</w:t>
      </w:r>
    </w:p>
    <w:p w14:paraId="4DF22F21" w14:textId="77777777" w:rsidR="00275C9E" w:rsidRPr="00275C9E" w:rsidRDefault="00275C9E" w:rsidP="00275C9E">
      <w:pPr>
        <w:rPr>
          <w:b/>
          <w:bCs/>
        </w:rPr>
      </w:pPr>
      <w:r w:rsidRPr="00275C9E">
        <w:rPr>
          <w:b/>
          <w:bCs/>
        </w:rPr>
        <w:t>3. Failure Points &amp; Risk Analysis</w:t>
      </w:r>
    </w:p>
    <w:p w14:paraId="5F06E80B" w14:textId="77777777" w:rsidR="00275C9E" w:rsidRDefault="00275C9E" w:rsidP="00275C9E">
      <w:r>
        <w:t>Single Point of Failure (SPOF): A centralized database or a single-region deployment.</w:t>
      </w:r>
    </w:p>
    <w:p w14:paraId="2700E3C9" w14:textId="77777777" w:rsidR="00275C9E" w:rsidRDefault="00275C9E" w:rsidP="00275C9E">
      <w:r>
        <w:t>Cascading Failures: A slow response from a partner bank’s API causing thread exhaustion in the core payment service.</w:t>
      </w:r>
    </w:p>
    <w:p w14:paraId="682F5E2C" w14:textId="77777777" w:rsidR="00275C9E" w:rsidRDefault="00275C9E" w:rsidP="00275C9E">
      <w:r>
        <w:lastRenderedPageBreak/>
        <w:t>Data Inconsistency: Network partitions occurring mid-transaction between the payment system and the bank's core banking system.</w:t>
      </w:r>
    </w:p>
    <w:p w14:paraId="7C3CBB1C" w14:textId="77777777" w:rsidR="00275C9E" w:rsidRPr="00275C9E" w:rsidRDefault="00275C9E" w:rsidP="00275C9E">
      <w:pPr>
        <w:rPr>
          <w:b/>
          <w:bCs/>
        </w:rPr>
      </w:pPr>
      <w:r w:rsidRPr="00275C9E">
        <w:rPr>
          <w:b/>
          <w:bCs/>
        </w:rPr>
        <w:t>4. Mitigation Strategies (Design for Resiliency)</w:t>
      </w:r>
    </w:p>
    <w:p w14:paraId="40E32E69" w14:textId="77777777" w:rsidR="00275C9E" w:rsidRDefault="00275C9E" w:rsidP="00275C9E">
      <w:r>
        <w:t>Circuit Breaker Pattern: Implemented at the Bank Gateway to prevent failing external dependencies from impacting overall system health.</w:t>
      </w:r>
    </w:p>
    <w:p w14:paraId="66785B1E" w14:textId="77777777" w:rsidR="00275C9E" w:rsidRDefault="00275C9E" w:rsidP="00275C9E">
      <w:r>
        <w:t>Idempotent API Design: Ensuring that every transaction has a unique 'Idempotency Key' to prevent duplicate processing during retries.</w:t>
      </w:r>
    </w:p>
    <w:p w14:paraId="324C7A19" w14:textId="77777777" w:rsidR="00275C9E" w:rsidRDefault="00275C9E" w:rsidP="00275C9E">
      <w:r>
        <w:t>Bulkhead Pattern: Partitioning resources so that a failure in P2P transfers does not affect P2M (Merchant) transactions.</w:t>
      </w:r>
    </w:p>
    <w:p w14:paraId="3AF4CFA6" w14:textId="77777777" w:rsidR="00275C9E" w:rsidRDefault="00275C9E" w:rsidP="00275C9E">
      <w:r>
        <w:t>Chaos Engineering: Regularly injecting faults into the staging environment to validate the Self-Healing capabilities of the infrastructure.</w:t>
      </w:r>
    </w:p>
    <w:p w14:paraId="5CCEE07B" w14:textId="77777777" w:rsidR="00275C9E" w:rsidRPr="00275C9E" w:rsidRDefault="00275C9E" w:rsidP="00275C9E">
      <w:pPr>
        <w:rPr>
          <w:b/>
          <w:bCs/>
        </w:rPr>
      </w:pPr>
      <w:r w:rsidRPr="00275C9E">
        <w:rPr>
          <w:b/>
          <w:bCs/>
        </w:rPr>
        <w:t>5. Contingency Plans (Operational Continuity)</w:t>
      </w:r>
    </w:p>
    <w:p w14:paraId="0786ABF9" w14:textId="77777777" w:rsidR="00275C9E" w:rsidRDefault="00275C9E" w:rsidP="00275C9E">
      <w:r>
        <w:t>Compensating Transaction Pattern: If a transaction fails at the final stage, the system automatically triggers a "reverse" event to ensure the ledger remains balanced.</w:t>
      </w:r>
    </w:p>
    <w:p w14:paraId="54802867" w14:textId="77777777" w:rsidR="00275C9E" w:rsidRDefault="00275C9E" w:rsidP="00275C9E">
      <w:r>
        <w:t>Degraded Mode: If the Fraud ML engine is down, the system falls back to static, rule-based risk checks.</w:t>
      </w:r>
    </w:p>
    <w:p w14:paraId="539AD30E" w14:textId="77777777" w:rsidR="00275C9E" w:rsidRDefault="00275C9E" w:rsidP="00275C9E">
      <w:r>
        <w:t>Dead Letter Queues (DLQ): Messages that cannot be processed are moved to a DLQ for manual inspection and reconciliation by auditors.</w:t>
      </w:r>
    </w:p>
    <w:p w14:paraId="759F9F8B" w14:textId="77777777" w:rsidR="00275C9E" w:rsidRPr="00275C9E" w:rsidRDefault="00275C9E" w:rsidP="00275C9E">
      <w:pPr>
        <w:rPr>
          <w:b/>
          <w:bCs/>
        </w:rPr>
      </w:pPr>
      <w:r w:rsidRPr="00275C9E">
        <w:rPr>
          <w:b/>
          <w:bCs/>
        </w:rPr>
        <w:t>6. Behavior Under Load (Scalability &amp; Elasticity)</w:t>
      </w:r>
    </w:p>
    <w:p w14:paraId="07B88113" w14:textId="77777777" w:rsidR="00275C9E" w:rsidRDefault="00275C9E" w:rsidP="00275C9E">
      <w:r>
        <w:t>Horizontal Autoscaling: Utilizing container orchestration to scale service instances based on CPU/Memory triggers during 10x spikes.</w:t>
      </w:r>
    </w:p>
    <w:p w14:paraId="4C3C66D5" w14:textId="77777777" w:rsidR="00275C9E" w:rsidRDefault="00275C9E" w:rsidP="00275C9E">
      <w:r>
        <w:t>Traffic Prioritization: During peak national events, the system applies Quality of Service (QoS) rules, prioritizing high-value merchant payments over low-priority P2P transfers.</w:t>
      </w:r>
    </w:p>
    <w:p w14:paraId="4441C44F" w14:textId="77777777" w:rsidR="00275C9E" w:rsidRPr="00275C9E" w:rsidRDefault="00275C9E" w:rsidP="00275C9E">
      <w:pPr>
        <w:rPr>
          <w:b/>
          <w:bCs/>
        </w:rPr>
      </w:pPr>
      <w:r w:rsidRPr="00275C9E">
        <w:rPr>
          <w:b/>
          <w:bCs/>
        </w:rPr>
        <w:t>7. Architectural Trade-offs</w:t>
      </w:r>
    </w:p>
    <w:p w14:paraId="2A14D6C1" w14:textId="77777777" w:rsidR="00275C9E" w:rsidRDefault="00275C9E" w:rsidP="00275C9E">
      <w:r>
        <w:t>CAP Theorem: The system prioritizes Consistency and Partition Tolerance (CP) for the financial ledger. Availability is slightly sacrificed (transactions may fail rather than record wrong data).</w:t>
      </w:r>
    </w:p>
    <w:p w14:paraId="7C7F6B99" w14:textId="77777777" w:rsidR="00275C9E" w:rsidRDefault="00275C9E" w:rsidP="00275C9E">
      <w:r>
        <w:t>Security vs. Usability: We adopt Risk-Based Authentication (RBA). Low-value transactions require minimal friction (biometrics), while high-value transactions trigger MFA, balancing security depth with UX.</w:t>
      </w:r>
    </w:p>
    <w:p w14:paraId="3F4FC358" w14:textId="77777777" w:rsidR="00275C9E" w:rsidRDefault="00275C9E" w:rsidP="00275C9E">
      <w:r>
        <w:lastRenderedPageBreak/>
        <w:t>Real-time vs. Eventual Processing: Transaction authorization is real-time; however, settlement is eventually consistent to allow for bulk processing efficiencies.</w:t>
      </w:r>
    </w:p>
    <w:p w14:paraId="7205DD0F" w14:textId="77777777" w:rsidR="00275C9E" w:rsidRPr="00275C9E" w:rsidRDefault="00275C9E" w:rsidP="00275C9E">
      <w:pPr>
        <w:rPr>
          <w:b/>
          <w:bCs/>
        </w:rPr>
      </w:pPr>
      <w:r w:rsidRPr="00275C9E">
        <w:rPr>
          <w:b/>
          <w:bCs/>
        </w:rPr>
        <w:t>8. Global Benchmarks &amp; Strategic Recommendations</w:t>
      </w:r>
    </w:p>
    <w:p w14:paraId="65FE7D56" w14:textId="5D1D3BD7" w:rsidR="00275C9E" w:rsidRDefault="00275C9E" w:rsidP="00275C9E">
      <w:r>
        <w:t xml:space="preserve">The proposed architecture aligns with the ISO 20022 standard for financial messaging, </w:t>
      </w:r>
      <w:r>
        <w:t>like</w:t>
      </w:r>
      <w:r>
        <w:t xml:space="preserve"> </w:t>
      </w:r>
      <w:proofErr w:type="spellStart"/>
      <w:r>
        <w:t>FedNow</w:t>
      </w:r>
      <w:proofErr w:type="spellEnd"/>
      <w:r>
        <w:t xml:space="preserve"> (USA) and UPI (India).</w:t>
      </w:r>
    </w:p>
    <w:p w14:paraId="6F1B33DE" w14:textId="77777777" w:rsidR="00275C9E" w:rsidRDefault="00275C9E" w:rsidP="00275C9E">
      <w:r>
        <w:t xml:space="preserve">USP Recommendation: Programmable Payments. Exposing "Smart APIs" that </w:t>
      </w:r>
      <w:proofErr w:type="gramStart"/>
      <w:r>
        <w:t>allow</w:t>
      </w:r>
      <w:proofErr w:type="gramEnd"/>
      <w:r>
        <w:t xml:space="preserve"> businesses to automate conditional payments (e.g., payment on delivery).</w:t>
      </w:r>
    </w:p>
    <w:p w14:paraId="01A1AD82" w14:textId="77777777" w:rsidR="00275C9E" w:rsidRDefault="00275C9E" w:rsidP="00275C9E">
      <w:r>
        <w:t>Impact: This drives Hyper-Automation in the economy, reducing administrative overhead and providing a 15–20% boost in digital transaction velocity, significantly improving the ROI of the national infrastructure.</w:t>
      </w:r>
    </w:p>
    <w:p w14:paraId="328A1065" w14:textId="77777777" w:rsidR="00275C9E" w:rsidRDefault="00275C9E" w:rsidP="00275C9E"/>
    <w:p w14:paraId="75A3C70F" w14:textId="77777777" w:rsidR="00275C9E" w:rsidRDefault="00275C9E" w:rsidP="00275C9E"/>
    <w:p w14:paraId="449FDC44" w14:textId="54C762BB" w:rsidR="0088233C" w:rsidRPr="00275C9E" w:rsidRDefault="0088233C" w:rsidP="00275C9E"/>
    <w:sectPr w:rsidR="0088233C" w:rsidRPr="00275C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7682"/>
    <w:rsid w:val="0022423A"/>
    <w:rsid w:val="00275C9E"/>
    <w:rsid w:val="004307CF"/>
    <w:rsid w:val="007B50EC"/>
    <w:rsid w:val="0088233C"/>
    <w:rsid w:val="00B16DA4"/>
    <w:rsid w:val="00B97682"/>
    <w:rsid w:val="00E10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1700AB"/>
  <w15:chartTrackingRefBased/>
  <w15:docId w15:val="{34267F0C-BB8E-4017-8096-2125883C86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76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976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76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76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76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76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76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76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76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76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976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76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76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76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76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76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76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76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76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76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76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76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76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76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76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76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76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76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76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3</Pages>
  <Words>611</Words>
  <Characters>3836</Characters>
  <Application>Microsoft Office Word</Application>
  <DocSecurity>0</DocSecurity>
  <Lines>73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Sailaja Sankisa</dc:creator>
  <cp:keywords/>
  <dc:description/>
  <cp:lastModifiedBy>Sailaja Sankisa</cp:lastModifiedBy>
  <cp:revision>1</cp:revision>
  <dcterms:created xsi:type="dcterms:W3CDTF">2026-03-02T15:25:00Z</dcterms:created>
  <dcterms:modified xsi:type="dcterms:W3CDTF">2026-03-02T16:34:00Z</dcterms:modified>
</cp:coreProperties>
</file>