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A9ED"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National Real-Time Payments System (NRPS)</w:t>
      </w:r>
    </w:p>
    <w:p w14:paraId="2AE2C5A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Strategic Architecture and Business Report</w:t>
      </w:r>
    </w:p>
    <w:p w14:paraId="58C4BE34"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30179D6B">
          <v:rect id="_x0000_i1025" style="width:0;height:1.5pt" o:hralign="center" o:hrstd="t" o:hr="t" fillcolor="#a0a0a0" stroked="f"/>
        </w:pict>
      </w:r>
    </w:p>
    <w:p w14:paraId="0EC1AF61"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1. Introduction</w:t>
      </w:r>
    </w:p>
    <w:p w14:paraId="3771D197"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rapid digitization of financial services has created strong demand for secure, instantaneous payment systems capable of operating at national scale. Traditional banking infrastructures—often reliant on batch settlement and delayed transfers—are increasingly insufficient to support modern digital economies.</w:t>
      </w:r>
    </w:p>
    <w:p w14:paraId="24824DEC"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This report outlines the </w:t>
      </w:r>
      <w:r w:rsidRPr="00944A4E">
        <w:rPr>
          <w:rFonts w:ascii="Times New Roman" w:eastAsia="Times New Roman" w:hAnsi="Times New Roman" w:cs="Times New Roman"/>
          <w:b/>
          <w:bCs/>
          <w:kern w:val="0"/>
          <w:sz w:val="24"/>
          <w:szCs w:val="24"/>
          <w:lang w:eastAsia="en-IN"/>
          <w14:ligatures w14:val="none"/>
        </w:rPr>
        <w:t>architecture, operational design, and strategic considerations</w:t>
      </w:r>
      <w:r w:rsidRPr="00944A4E">
        <w:rPr>
          <w:rFonts w:ascii="Times New Roman" w:eastAsia="Times New Roman" w:hAnsi="Times New Roman" w:cs="Times New Roman"/>
          <w:kern w:val="0"/>
          <w:sz w:val="24"/>
          <w:szCs w:val="24"/>
          <w:lang w:eastAsia="en-IN"/>
          <w14:ligatures w14:val="none"/>
        </w:rPr>
        <w:t xml:space="preserve"> for a </w:t>
      </w:r>
      <w:r w:rsidRPr="00944A4E">
        <w:rPr>
          <w:rFonts w:ascii="Times New Roman" w:eastAsia="Times New Roman" w:hAnsi="Times New Roman" w:cs="Times New Roman"/>
          <w:b/>
          <w:bCs/>
          <w:kern w:val="0"/>
          <w:sz w:val="24"/>
          <w:szCs w:val="24"/>
          <w:lang w:eastAsia="en-IN"/>
          <w14:ligatures w14:val="none"/>
        </w:rPr>
        <w:t>National Real-Time Payments System (NRPS)</w:t>
      </w:r>
      <w:r w:rsidRPr="00944A4E">
        <w:rPr>
          <w:rFonts w:ascii="Times New Roman" w:eastAsia="Times New Roman" w:hAnsi="Times New Roman" w:cs="Times New Roman"/>
          <w:kern w:val="0"/>
          <w:sz w:val="24"/>
          <w:szCs w:val="24"/>
          <w:lang w:eastAsia="en-IN"/>
          <w14:ligatures w14:val="none"/>
        </w:rPr>
        <w:t xml:space="preserve"> capable of serving </w:t>
      </w:r>
      <w:r w:rsidRPr="00944A4E">
        <w:rPr>
          <w:rFonts w:ascii="Times New Roman" w:eastAsia="Times New Roman" w:hAnsi="Times New Roman" w:cs="Times New Roman"/>
          <w:b/>
          <w:bCs/>
          <w:kern w:val="0"/>
          <w:sz w:val="24"/>
          <w:szCs w:val="24"/>
          <w:lang w:eastAsia="en-IN"/>
          <w14:ligatures w14:val="none"/>
        </w:rPr>
        <w:t>150 million registered users</w:t>
      </w:r>
      <w:r w:rsidRPr="00944A4E">
        <w:rPr>
          <w:rFonts w:ascii="Times New Roman" w:eastAsia="Times New Roman" w:hAnsi="Times New Roman" w:cs="Times New Roman"/>
          <w:kern w:val="0"/>
          <w:sz w:val="24"/>
          <w:szCs w:val="24"/>
          <w:lang w:eastAsia="en-IN"/>
          <w14:ligatures w14:val="none"/>
        </w:rPr>
        <w:t xml:space="preserve">, with </w:t>
      </w:r>
      <w:r w:rsidRPr="00944A4E">
        <w:rPr>
          <w:rFonts w:ascii="Times New Roman" w:eastAsia="Times New Roman" w:hAnsi="Times New Roman" w:cs="Times New Roman"/>
          <w:b/>
          <w:bCs/>
          <w:kern w:val="0"/>
          <w:sz w:val="24"/>
          <w:szCs w:val="24"/>
          <w:lang w:eastAsia="en-IN"/>
          <w14:ligatures w14:val="none"/>
        </w:rPr>
        <w:t>40 million daily active users</w:t>
      </w:r>
      <w:r w:rsidRPr="00944A4E">
        <w:rPr>
          <w:rFonts w:ascii="Times New Roman" w:eastAsia="Times New Roman" w:hAnsi="Times New Roman" w:cs="Times New Roman"/>
          <w:kern w:val="0"/>
          <w:sz w:val="24"/>
          <w:szCs w:val="24"/>
          <w:lang w:eastAsia="en-IN"/>
          <w14:ligatures w14:val="none"/>
        </w:rPr>
        <w:t xml:space="preserve"> and peak loads exceeding </w:t>
      </w:r>
      <w:r w:rsidRPr="00944A4E">
        <w:rPr>
          <w:rFonts w:ascii="Times New Roman" w:eastAsia="Times New Roman" w:hAnsi="Times New Roman" w:cs="Times New Roman"/>
          <w:b/>
          <w:bCs/>
          <w:kern w:val="0"/>
          <w:sz w:val="24"/>
          <w:szCs w:val="24"/>
          <w:lang w:eastAsia="en-IN"/>
          <w14:ligatures w14:val="none"/>
        </w:rPr>
        <w:t>50,000 transactions per second (TPS)</w:t>
      </w:r>
      <w:r w:rsidRPr="00944A4E">
        <w:rPr>
          <w:rFonts w:ascii="Times New Roman" w:eastAsia="Times New Roman" w:hAnsi="Times New Roman" w:cs="Times New Roman"/>
          <w:kern w:val="0"/>
          <w:sz w:val="24"/>
          <w:szCs w:val="24"/>
          <w:lang w:eastAsia="en-IN"/>
          <w14:ligatures w14:val="none"/>
        </w:rPr>
        <w:t xml:space="preserve">. The platform will act as the </w:t>
      </w:r>
      <w:r w:rsidRPr="00944A4E">
        <w:rPr>
          <w:rFonts w:ascii="Times New Roman" w:eastAsia="Times New Roman" w:hAnsi="Times New Roman" w:cs="Times New Roman"/>
          <w:b/>
          <w:bCs/>
          <w:kern w:val="0"/>
          <w:sz w:val="24"/>
          <w:szCs w:val="24"/>
          <w:lang w:eastAsia="en-IN"/>
          <w14:ligatures w14:val="none"/>
        </w:rPr>
        <w:t>primary infrastructure for peer-to-peer (P2P) and peer-to-merchant (P2M) payments</w:t>
      </w:r>
      <w:r w:rsidRPr="00944A4E">
        <w:rPr>
          <w:rFonts w:ascii="Times New Roman" w:eastAsia="Times New Roman" w:hAnsi="Times New Roman" w:cs="Times New Roman"/>
          <w:kern w:val="0"/>
          <w:sz w:val="24"/>
          <w:szCs w:val="24"/>
          <w:lang w:eastAsia="en-IN"/>
          <w14:ligatures w14:val="none"/>
        </w:rPr>
        <w:t>, gradually replacing cash transactions and legacy bank transfers.</w:t>
      </w:r>
    </w:p>
    <w:p w14:paraId="35F415D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system must ensure </w:t>
      </w:r>
      <w:r w:rsidRPr="00944A4E">
        <w:rPr>
          <w:rFonts w:ascii="Times New Roman" w:eastAsia="Times New Roman" w:hAnsi="Times New Roman" w:cs="Times New Roman"/>
          <w:b/>
          <w:bCs/>
          <w:kern w:val="0"/>
          <w:sz w:val="24"/>
          <w:szCs w:val="24"/>
          <w:lang w:eastAsia="en-IN"/>
          <w14:ligatures w14:val="none"/>
        </w:rPr>
        <w:t>near-instant transaction processing (&lt;2 seconds latency)</w:t>
      </w:r>
      <w:r w:rsidRPr="00944A4E">
        <w:rPr>
          <w:rFonts w:ascii="Times New Roman" w:eastAsia="Times New Roman" w:hAnsi="Times New Roman" w:cs="Times New Roman"/>
          <w:kern w:val="0"/>
          <w:sz w:val="24"/>
          <w:szCs w:val="24"/>
          <w:lang w:eastAsia="en-IN"/>
          <w14:ligatures w14:val="none"/>
        </w:rPr>
        <w:t xml:space="preserve">, </w:t>
      </w:r>
      <w:r w:rsidRPr="00944A4E">
        <w:rPr>
          <w:rFonts w:ascii="Times New Roman" w:eastAsia="Times New Roman" w:hAnsi="Times New Roman" w:cs="Times New Roman"/>
          <w:b/>
          <w:bCs/>
          <w:kern w:val="0"/>
          <w:sz w:val="24"/>
          <w:szCs w:val="24"/>
          <w:lang w:eastAsia="en-IN"/>
          <w14:ligatures w14:val="none"/>
        </w:rPr>
        <w:t>99.999% availability</w:t>
      </w:r>
      <w:r w:rsidRPr="00944A4E">
        <w:rPr>
          <w:rFonts w:ascii="Times New Roman" w:eastAsia="Times New Roman" w:hAnsi="Times New Roman" w:cs="Times New Roman"/>
          <w:kern w:val="0"/>
          <w:sz w:val="24"/>
          <w:szCs w:val="24"/>
          <w:lang w:eastAsia="en-IN"/>
          <w14:ligatures w14:val="none"/>
        </w:rPr>
        <w:t xml:space="preserve">, strong </w:t>
      </w:r>
      <w:r w:rsidRPr="00944A4E">
        <w:rPr>
          <w:rFonts w:ascii="Times New Roman" w:eastAsia="Times New Roman" w:hAnsi="Times New Roman" w:cs="Times New Roman"/>
          <w:b/>
          <w:bCs/>
          <w:kern w:val="0"/>
          <w:sz w:val="24"/>
          <w:szCs w:val="24"/>
          <w:lang w:eastAsia="en-IN"/>
          <w14:ligatures w14:val="none"/>
        </w:rPr>
        <w:t>security and compliance</w:t>
      </w:r>
      <w:r w:rsidRPr="00944A4E">
        <w:rPr>
          <w:rFonts w:ascii="Times New Roman" w:eastAsia="Times New Roman" w:hAnsi="Times New Roman" w:cs="Times New Roman"/>
          <w:kern w:val="0"/>
          <w:sz w:val="24"/>
          <w:szCs w:val="24"/>
          <w:lang w:eastAsia="en-IN"/>
          <w14:ligatures w14:val="none"/>
        </w:rPr>
        <w:t xml:space="preserve">, and </w:t>
      </w:r>
      <w:r w:rsidRPr="00944A4E">
        <w:rPr>
          <w:rFonts w:ascii="Times New Roman" w:eastAsia="Times New Roman" w:hAnsi="Times New Roman" w:cs="Times New Roman"/>
          <w:b/>
          <w:bCs/>
          <w:kern w:val="0"/>
          <w:sz w:val="24"/>
          <w:szCs w:val="24"/>
          <w:lang w:eastAsia="en-IN"/>
          <w14:ligatures w14:val="none"/>
        </w:rPr>
        <w:t>seamless interoperability with banking institutions</w:t>
      </w:r>
      <w:r w:rsidRPr="00944A4E">
        <w:rPr>
          <w:rFonts w:ascii="Times New Roman" w:eastAsia="Times New Roman" w:hAnsi="Times New Roman" w:cs="Times New Roman"/>
          <w:kern w:val="0"/>
          <w:sz w:val="24"/>
          <w:szCs w:val="24"/>
          <w:lang w:eastAsia="en-IN"/>
          <w14:ligatures w14:val="none"/>
        </w:rPr>
        <w:t xml:space="preserve">. Additionally, the platform must be designed with future expansion in mind, including </w:t>
      </w:r>
      <w:r w:rsidRPr="00944A4E">
        <w:rPr>
          <w:rFonts w:ascii="Times New Roman" w:eastAsia="Times New Roman" w:hAnsi="Times New Roman" w:cs="Times New Roman"/>
          <w:b/>
          <w:bCs/>
          <w:kern w:val="0"/>
          <w:sz w:val="24"/>
          <w:szCs w:val="24"/>
          <w:lang w:eastAsia="en-IN"/>
          <w14:ligatures w14:val="none"/>
        </w:rPr>
        <w:t>cross-border payment capabilities</w:t>
      </w:r>
      <w:r w:rsidRPr="00944A4E">
        <w:rPr>
          <w:rFonts w:ascii="Times New Roman" w:eastAsia="Times New Roman" w:hAnsi="Times New Roman" w:cs="Times New Roman"/>
          <w:kern w:val="0"/>
          <w:sz w:val="24"/>
          <w:szCs w:val="24"/>
          <w:lang w:eastAsia="en-IN"/>
          <w14:ligatures w14:val="none"/>
        </w:rPr>
        <w:t xml:space="preserve"> and </w:t>
      </w:r>
      <w:r w:rsidRPr="00944A4E">
        <w:rPr>
          <w:rFonts w:ascii="Times New Roman" w:eastAsia="Times New Roman" w:hAnsi="Times New Roman" w:cs="Times New Roman"/>
          <w:b/>
          <w:bCs/>
          <w:kern w:val="0"/>
          <w:sz w:val="24"/>
          <w:szCs w:val="24"/>
          <w:lang w:eastAsia="en-IN"/>
          <w14:ligatures w14:val="none"/>
        </w:rPr>
        <w:t>integration with international banking systems</w:t>
      </w:r>
      <w:r w:rsidRPr="00944A4E">
        <w:rPr>
          <w:rFonts w:ascii="Times New Roman" w:eastAsia="Times New Roman" w:hAnsi="Times New Roman" w:cs="Times New Roman"/>
          <w:kern w:val="0"/>
          <w:sz w:val="24"/>
          <w:szCs w:val="24"/>
          <w:lang w:eastAsia="en-IN"/>
          <w14:ligatures w14:val="none"/>
        </w:rPr>
        <w:t>.</w:t>
      </w:r>
    </w:p>
    <w:p w14:paraId="6FF6173E"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14FECBCB">
          <v:rect id="_x0000_i1026" style="width:0;height:1.5pt" o:hralign="center" o:hrstd="t" o:hr="t" fillcolor="#a0a0a0" stroked="f"/>
        </w:pict>
      </w:r>
    </w:p>
    <w:p w14:paraId="4EE68C53"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2. Strategic Objectives</w:t>
      </w:r>
    </w:p>
    <w:p w14:paraId="7DA22E15"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National Real-Time Payments System aims to deliver several strategic benefits:</w:t>
      </w:r>
    </w:p>
    <w:p w14:paraId="51CEC4FA"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2.1 Financial Inclusion</w:t>
      </w:r>
    </w:p>
    <w:p w14:paraId="046793A6"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By enabling mobile and web-based payments, the platform broadens access to digital financial services for citizens and small businesses.</w:t>
      </w:r>
    </w:p>
    <w:p w14:paraId="1497FF34"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2.2 Cashless Economy Enablement</w:t>
      </w:r>
    </w:p>
    <w:p w14:paraId="262634B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platform reduces reliance on physical cash and encourages digital transactions across retail, services, and peer transfers.</w:t>
      </w:r>
    </w:p>
    <w:p w14:paraId="22C08375"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2.3 Infrastructure Standardization</w:t>
      </w:r>
    </w:p>
    <w:p w14:paraId="4E7FDD7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t xml:space="preserve">NRPS provides a </w:t>
      </w:r>
      <w:r w:rsidRPr="00944A4E">
        <w:rPr>
          <w:rFonts w:ascii="Times New Roman" w:eastAsia="Times New Roman" w:hAnsi="Times New Roman" w:cs="Times New Roman"/>
          <w:b/>
          <w:bCs/>
          <w:kern w:val="0"/>
          <w:sz w:val="24"/>
          <w:szCs w:val="24"/>
          <w:lang w:eastAsia="en-IN"/>
          <w14:ligatures w14:val="none"/>
        </w:rPr>
        <w:t>unified national payment rail</w:t>
      </w:r>
      <w:r w:rsidRPr="00944A4E">
        <w:rPr>
          <w:rFonts w:ascii="Times New Roman" w:eastAsia="Times New Roman" w:hAnsi="Times New Roman" w:cs="Times New Roman"/>
          <w:kern w:val="0"/>
          <w:sz w:val="24"/>
          <w:szCs w:val="24"/>
          <w:lang w:eastAsia="en-IN"/>
          <w14:ligatures w14:val="none"/>
        </w:rPr>
        <w:t xml:space="preserve"> integrating multiple banks and financial institutions under a standardized payment framework.</w:t>
      </w:r>
    </w:p>
    <w:p w14:paraId="1A6026C1"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2.4 Innovation and Ecosystem Development</w:t>
      </w:r>
    </w:p>
    <w:p w14:paraId="75BB6BA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Open APIs allow fintech companies, merchants, and third-party service providers to build innovative services on top of the platform.</w:t>
      </w:r>
    </w:p>
    <w:p w14:paraId="321D4EE4"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2.5 International Payment Expansion</w:t>
      </w:r>
    </w:p>
    <w:p w14:paraId="29685247"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In the long term, the system can evolve into a </w:t>
      </w:r>
      <w:r w:rsidRPr="00944A4E">
        <w:rPr>
          <w:rFonts w:ascii="Times New Roman" w:eastAsia="Times New Roman" w:hAnsi="Times New Roman" w:cs="Times New Roman"/>
          <w:b/>
          <w:bCs/>
          <w:kern w:val="0"/>
          <w:sz w:val="24"/>
          <w:szCs w:val="24"/>
          <w:lang w:eastAsia="en-IN"/>
          <w14:ligatures w14:val="none"/>
        </w:rPr>
        <w:t>cross-border real-time payment network</w:t>
      </w:r>
      <w:r w:rsidRPr="00944A4E">
        <w:rPr>
          <w:rFonts w:ascii="Times New Roman" w:eastAsia="Times New Roman" w:hAnsi="Times New Roman" w:cs="Times New Roman"/>
          <w:kern w:val="0"/>
          <w:sz w:val="24"/>
          <w:szCs w:val="24"/>
          <w:lang w:eastAsia="en-IN"/>
          <w14:ligatures w14:val="none"/>
        </w:rPr>
        <w:t>, enabling seamless international transfers between partner countries.</w:t>
      </w:r>
    </w:p>
    <w:p w14:paraId="22293248"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0DDCEDE3">
          <v:rect id="_x0000_i1027" style="width:0;height:1.5pt" o:hralign="center" o:hrstd="t" o:hr="t" fillcolor="#a0a0a0" stroked="f"/>
        </w:pict>
      </w:r>
    </w:p>
    <w:p w14:paraId="217AA862"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3. System Overview</w:t>
      </w:r>
    </w:p>
    <w:p w14:paraId="799A823A"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platform will support multiple user groups and interaction channels.</w:t>
      </w:r>
    </w:p>
    <w:p w14:paraId="3782E7FA"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3.1 User Segments</w:t>
      </w:r>
    </w:p>
    <w:p w14:paraId="340A33DE"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Individual Citizens</w:t>
      </w:r>
    </w:p>
    <w:p w14:paraId="0674A185" w14:textId="77777777" w:rsidR="00944A4E" w:rsidRPr="00944A4E" w:rsidRDefault="00944A4E" w:rsidP="00944A4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P2P transfers</w:t>
      </w:r>
    </w:p>
    <w:p w14:paraId="436524F0" w14:textId="77777777" w:rsidR="00944A4E" w:rsidRPr="00944A4E" w:rsidRDefault="00944A4E" w:rsidP="00944A4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Bill payments</w:t>
      </w:r>
    </w:p>
    <w:p w14:paraId="1A46D8D1" w14:textId="77777777" w:rsidR="00944A4E" w:rsidRPr="00944A4E" w:rsidRDefault="00944A4E" w:rsidP="00944A4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QR-based merchant payments</w:t>
      </w:r>
    </w:p>
    <w:p w14:paraId="2AF8844C"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Merchants</w:t>
      </w:r>
    </w:p>
    <w:p w14:paraId="1AF81E32" w14:textId="77777777" w:rsidR="00944A4E" w:rsidRPr="00944A4E" w:rsidRDefault="00944A4E" w:rsidP="00944A4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Accept QR payments</w:t>
      </w:r>
    </w:p>
    <w:p w14:paraId="3BAB1BB0" w14:textId="77777777" w:rsidR="00944A4E" w:rsidRPr="00944A4E" w:rsidRDefault="00944A4E" w:rsidP="00944A4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Access merchant dashboards</w:t>
      </w:r>
    </w:p>
    <w:p w14:paraId="2E51F945" w14:textId="77777777" w:rsidR="00944A4E" w:rsidRPr="00944A4E" w:rsidRDefault="00944A4E" w:rsidP="00944A4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Receive daily settlement reports</w:t>
      </w:r>
    </w:p>
    <w:p w14:paraId="19D486BD"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Banks and Financial Institutions</w:t>
      </w:r>
    </w:p>
    <w:p w14:paraId="0941BCC2" w14:textId="77777777" w:rsidR="00944A4E" w:rsidRPr="00944A4E" w:rsidRDefault="00944A4E" w:rsidP="00944A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Transaction processing</w:t>
      </w:r>
    </w:p>
    <w:p w14:paraId="39F30584" w14:textId="77777777" w:rsidR="00944A4E" w:rsidRPr="00944A4E" w:rsidRDefault="00944A4E" w:rsidP="00944A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Interbank settlement</w:t>
      </w:r>
    </w:p>
    <w:p w14:paraId="3B2764C8" w14:textId="77777777" w:rsidR="00944A4E" w:rsidRPr="00944A4E" w:rsidRDefault="00944A4E" w:rsidP="00944A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Reconciliation and liquidity management</w:t>
      </w:r>
    </w:p>
    <w:p w14:paraId="71521F9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Regulators and Auditors</w:t>
      </w:r>
    </w:p>
    <w:p w14:paraId="769333B4" w14:textId="77777777" w:rsidR="00944A4E" w:rsidRPr="00944A4E" w:rsidRDefault="00944A4E" w:rsidP="00944A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Oversight</w:t>
      </w:r>
    </w:p>
    <w:p w14:paraId="08337BCD" w14:textId="77777777" w:rsidR="00944A4E" w:rsidRPr="00944A4E" w:rsidRDefault="00944A4E" w:rsidP="00944A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Compliance monitoring</w:t>
      </w:r>
    </w:p>
    <w:p w14:paraId="3A21213E" w14:textId="77777777" w:rsidR="00944A4E" w:rsidRPr="00944A4E" w:rsidRDefault="00944A4E" w:rsidP="00944A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Fraud investigation</w:t>
      </w:r>
    </w:p>
    <w:p w14:paraId="24052316"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6F9EC759">
          <v:rect id="_x0000_i1028" style="width:0;height:1.5pt" o:hralign="center" o:hrstd="t" o:hr="t" fillcolor="#a0a0a0" stroked="f"/>
        </w:pict>
      </w:r>
    </w:p>
    <w:p w14:paraId="741FDB7B"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3.2 Supported Platforms</w:t>
      </w:r>
    </w:p>
    <w:p w14:paraId="0533EB62"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t>The system will support multiple interfaces to ensure accessibility across the digital ecosystem.</w:t>
      </w:r>
    </w:p>
    <w:p w14:paraId="33D9BF15" w14:textId="77777777" w:rsidR="00944A4E" w:rsidRPr="00944A4E" w:rsidRDefault="00944A4E" w:rsidP="00944A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Mobile Applications (iOS and Android)</w:t>
      </w:r>
    </w:p>
    <w:p w14:paraId="4384501C" w14:textId="77777777" w:rsidR="00944A4E" w:rsidRPr="00944A4E" w:rsidRDefault="00944A4E" w:rsidP="00944A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Web applications</w:t>
      </w:r>
    </w:p>
    <w:p w14:paraId="460226F3" w14:textId="77777777" w:rsidR="00944A4E" w:rsidRPr="00944A4E" w:rsidRDefault="00944A4E" w:rsidP="00944A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Merchant POS systems</w:t>
      </w:r>
    </w:p>
    <w:p w14:paraId="5B9D1DE1" w14:textId="77777777" w:rsidR="00944A4E" w:rsidRPr="00944A4E" w:rsidRDefault="00944A4E" w:rsidP="00944A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Third-party fintech integrations via APIs</w:t>
      </w:r>
    </w:p>
    <w:p w14:paraId="35902644"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These channels connect to a centralized </w:t>
      </w:r>
      <w:r w:rsidRPr="00944A4E">
        <w:rPr>
          <w:rFonts w:ascii="Times New Roman" w:eastAsia="Times New Roman" w:hAnsi="Times New Roman" w:cs="Times New Roman"/>
          <w:b/>
          <w:bCs/>
          <w:kern w:val="0"/>
          <w:sz w:val="24"/>
          <w:szCs w:val="24"/>
          <w:lang w:eastAsia="en-IN"/>
          <w14:ligatures w14:val="none"/>
        </w:rPr>
        <w:t>payments platform infrastructure</w:t>
      </w:r>
      <w:r w:rsidRPr="00944A4E">
        <w:rPr>
          <w:rFonts w:ascii="Times New Roman" w:eastAsia="Times New Roman" w:hAnsi="Times New Roman" w:cs="Times New Roman"/>
          <w:kern w:val="0"/>
          <w:sz w:val="24"/>
          <w:szCs w:val="24"/>
          <w:lang w:eastAsia="en-IN"/>
          <w14:ligatures w14:val="none"/>
        </w:rPr>
        <w:t xml:space="preserve"> via secure gateways.</w:t>
      </w:r>
    </w:p>
    <w:p w14:paraId="7618DD42"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39528FC7">
          <v:rect id="_x0000_i1029" style="width:0;height:1.5pt" o:hralign="center" o:hrstd="t" o:hr="t" fillcolor="#a0a0a0" stroked="f"/>
        </w:pict>
      </w:r>
    </w:p>
    <w:p w14:paraId="32ED3606"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4. Functional Capabilities</w:t>
      </w:r>
    </w:p>
    <w:p w14:paraId="513E4032"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4.1 Core Payment Services</w:t>
      </w:r>
    </w:p>
    <w:p w14:paraId="5C31AAF5"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platform enables instantaneous payment transactions through a unified infrastructure.</w:t>
      </w:r>
    </w:p>
    <w:p w14:paraId="78786F50"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Key capabilities include:</w:t>
      </w:r>
    </w:p>
    <w:p w14:paraId="3F5348FF"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User onboarding with digital identity verification (KYC)</w:t>
      </w:r>
    </w:p>
    <w:p w14:paraId="79243F11"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Linking multiple bank accounts per user</w:t>
      </w:r>
    </w:p>
    <w:p w14:paraId="7E94669C"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Real-time P2P money transfers</w:t>
      </w:r>
    </w:p>
    <w:p w14:paraId="1E315D32"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QR code-based merchant payments</w:t>
      </w:r>
    </w:p>
    <w:p w14:paraId="66D0F7A4"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Transaction tracking and receipts</w:t>
      </w:r>
    </w:p>
    <w:p w14:paraId="79B93C6B" w14:textId="77777777" w:rsidR="00944A4E" w:rsidRPr="00944A4E" w:rsidRDefault="00944A4E" w:rsidP="00944A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Real-time payment status notifications</w:t>
      </w:r>
    </w:p>
    <w:p w14:paraId="524FE00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system ensures that all transactions are </w:t>
      </w:r>
      <w:r w:rsidRPr="00944A4E">
        <w:rPr>
          <w:rFonts w:ascii="Times New Roman" w:eastAsia="Times New Roman" w:hAnsi="Times New Roman" w:cs="Times New Roman"/>
          <w:b/>
          <w:bCs/>
          <w:kern w:val="0"/>
          <w:sz w:val="24"/>
          <w:szCs w:val="24"/>
          <w:lang w:eastAsia="en-IN"/>
          <w14:ligatures w14:val="none"/>
        </w:rPr>
        <w:t>irrevocably confirmed within seconds</w:t>
      </w:r>
      <w:r w:rsidRPr="00944A4E">
        <w:rPr>
          <w:rFonts w:ascii="Times New Roman" w:eastAsia="Times New Roman" w:hAnsi="Times New Roman" w:cs="Times New Roman"/>
          <w:kern w:val="0"/>
          <w:sz w:val="24"/>
          <w:szCs w:val="24"/>
          <w:lang w:eastAsia="en-IN"/>
          <w14:ligatures w14:val="none"/>
        </w:rPr>
        <w:t>.</w:t>
      </w:r>
    </w:p>
    <w:p w14:paraId="5D51B8C4"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2F62953E">
          <v:rect id="_x0000_i1030" style="width:0;height:1.5pt" o:hralign="center" o:hrstd="t" o:hr="t" fillcolor="#a0a0a0" stroked="f"/>
        </w:pict>
      </w:r>
    </w:p>
    <w:p w14:paraId="232A23B4"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4.2 Banking Integration and Settlement</w:t>
      </w:r>
    </w:p>
    <w:p w14:paraId="22A8647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NRPS must operate as an </w:t>
      </w:r>
      <w:r w:rsidRPr="00944A4E">
        <w:rPr>
          <w:rFonts w:ascii="Times New Roman" w:eastAsia="Times New Roman" w:hAnsi="Times New Roman" w:cs="Times New Roman"/>
          <w:b/>
          <w:bCs/>
          <w:kern w:val="0"/>
          <w:sz w:val="24"/>
          <w:szCs w:val="24"/>
          <w:lang w:eastAsia="en-IN"/>
          <w14:ligatures w14:val="none"/>
        </w:rPr>
        <w:t>interoperable layer between financial institutions</w:t>
      </w:r>
      <w:r w:rsidRPr="00944A4E">
        <w:rPr>
          <w:rFonts w:ascii="Times New Roman" w:eastAsia="Times New Roman" w:hAnsi="Times New Roman" w:cs="Times New Roman"/>
          <w:kern w:val="0"/>
          <w:sz w:val="24"/>
          <w:szCs w:val="24"/>
          <w:lang w:eastAsia="en-IN"/>
          <w14:ligatures w14:val="none"/>
        </w:rPr>
        <w:t>.</w:t>
      </w:r>
    </w:p>
    <w:p w14:paraId="31230C4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Key features include:</w:t>
      </w:r>
    </w:p>
    <w:p w14:paraId="289B2B4E" w14:textId="77777777" w:rsidR="00944A4E" w:rsidRPr="00944A4E" w:rsidRDefault="00944A4E" w:rsidP="00944A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Integration with all major domestic banks</w:t>
      </w:r>
    </w:p>
    <w:p w14:paraId="63D9208E" w14:textId="77777777" w:rsidR="00944A4E" w:rsidRPr="00944A4E" w:rsidRDefault="00944A4E" w:rsidP="00944A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Real-time payment authorization</w:t>
      </w:r>
    </w:p>
    <w:p w14:paraId="1BC2E3E5" w14:textId="77777777" w:rsidR="00944A4E" w:rsidRPr="00944A4E" w:rsidRDefault="00944A4E" w:rsidP="00944A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Inter-bank settlement and reconciliation</w:t>
      </w:r>
    </w:p>
    <w:p w14:paraId="1EAD88C8" w14:textId="77777777" w:rsidR="00944A4E" w:rsidRPr="00944A4E" w:rsidRDefault="00944A4E" w:rsidP="00944A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Scheduled settlement cycles for liquidity management</w:t>
      </w:r>
    </w:p>
    <w:p w14:paraId="02652A2A" w14:textId="77777777" w:rsidR="00944A4E" w:rsidRPr="00944A4E" w:rsidRDefault="00944A4E" w:rsidP="00944A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Dispute management and chargeback handling</w:t>
      </w:r>
    </w:p>
    <w:p w14:paraId="7E0F4800"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Settlement mechanisms may combine </w:t>
      </w:r>
      <w:r w:rsidRPr="00944A4E">
        <w:rPr>
          <w:rFonts w:ascii="Times New Roman" w:eastAsia="Times New Roman" w:hAnsi="Times New Roman" w:cs="Times New Roman"/>
          <w:b/>
          <w:bCs/>
          <w:kern w:val="0"/>
          <w:sz w:val="24"/>
          <w:szCs w:val="24"/>
          <w:lang w:eastAsia="en-IN"/>
          <w14:ligatures w14:val="none"/>
        </w:rPr>
        <w:t>real-time gross settlement (RTGS)</w:t>
      </w:r>
      <w:r w:rsidRPr="00944A4E">
        <w:rPr>
          <w:rFonts w:ascii="Times New Roman" w:eastAsia="Times New Roman" w:hAnsi="Times New Roman" w:cs="Times New Roman"/>
          <w:kern w:val="0"/>
          <w:sz w:val="24"/>
          <w:szCs w:val="24"/>
          <w:lang w:eastAsia="en-IN"/>
          <w14:ligatures w14:val="none"/>
        </w:rPr>
        <w:t xml:space="preserve"> principles with periodic net settlement to optimize liquidity requirements for participating banks.</w:t>
      </w:r>
    </w:p>
    <w:p w14:paraId="2B4A116E"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74043E17">
          <v:rect id="_x0000_i1031" style="width:0;height:1.5pt" o:hralign="center" o:hrstd="t" o:hr="t" fillcolor="#a0a0a0" stroked="f"/>
        </w:pict>
      </w:r>
    </w:p>
    <w:p w14:paraId="538B62E1"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lastRenderedPageBreak/>
        <w:t>4.3 Merchant Services</w:t>
      </w:r>
    </w:p>
    <w:p w14:paraId="255D3B3D"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Merchant adoption is critical for reducing cash usage.</w:t>
      </w:r>
    </w:p>
    <w:p w14:paraId="04B6636A"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Capabilities include:</w:t>
      </w:r>
    </w:p>
    <w:p w14:paraId="64107B39" w14:textId="77777777" w:rsidR="00944A4E" w:rsidRPr="00944A4E" w:rsidRDefault="00944A4E" w:rsidP="00944A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Merchant registration and verification</w:t>
      </w:r>
    </w:p>
    <w:p w14:paraId="67542FDE" w14:textId="77777777" w:rsidR="00944A4E" w:rsidRPr="00944A4E" w:rsidRDefault="00944A4E" w:rsidP="00944A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Static and dynamic QR payment support</w:t>
      </w:r>
    </w:p>
    <w:p w14:paraId="23BD42A6" w14:textId="77777777" w:rsidR="00944A4E" w:rsidRPr="00944A4E" w:rsidRDefault="00944A4E" w:rsidP="00944A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Merchant dashboards for payment monitoring</w:t>
      </w:r>
    </w:p>
    <w:p w14:paraId="2EB29C78" w14:textId="77777777" w:rsidR="00944A4E" w:rsidRPr="00944A4E" w:rsidRDefault="00944A4E" w:rsidP="00944A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Daily and periodic settlement reports</w:t>
      </w:r>
    </w:p>
    <w:p w14:paraId="152969FC" w14:textId="77777777" w:rsidR="00944A4E" w:rsidRPr="00944A4E" w:rsidRDefault="00944A4E" w:rsidP="00944A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API integrations with e-commerce platforms</w:t>
      </w:r>
    </w:p>
    <w:p w14:paraId="70D3997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system must support both </w:t>
      </w:r>
      <w:r w:rsidRPr="00944A4E">
        <w:rPr>
          <w:rFonts w:ascii="Times New Roman" w:eastAsia="Times New Roman" w:hAnsi="Times New Roman" w:cs="Times New Roman"/>
          <w:b/>
          <w:bCs/>
          <w:kern w:val="0"/>
          <w:sz w:val="24"/>
          <w:szCs w:val="24"/>
          <w:lang w:eastAsia="en-IN"/>
          <w14:ligatures w14:val="none"/>
        </w:rPr>
        <w:t>small offline merchants and large online marketplaces</w:t>
      </w:r>
      <w:r w:rsidRPr="00944A4E">
        <w:rPr>
          <w:rFonts w:ascii="Times New Roman" w:eastAsia="Times New Roman" w:hAnsi="Times New Roman" w:cs="Times New Roman"/>
          <w:kern w:val="0"/>
          <w:sz w:val="24"/>
          <w:szCs w:val="24"/>
          <w:lang w:eastAsia="en-IN"/>
          <w14:ligatures w14:val="none"/>
        </w:rPr>
        <w:t>.</w:t>
      </w:r>
    </w:p>
    <w:p w14:paraId="00B3A841"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61CEFF00">
          <v:rect id="_x0000_i1032" style="width:0;height:1.5pt" o:hralign="center" o:hrstd="t" o:hr="t" fillcolor="#a0a0a0" stroked="f"/>
        </w:pict>
      </w:r>
    </w:p>
    <w:p w14:paraId="074A6B4E"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4.4 Operational and Regulatory Features</w:t>
      </w:r>
    </w:p>
    <w:p w14:paraId="4D0350D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To ensure transparency and governance, the system must provide:</w:t>
      </w:r>
    </w:p>
    <w:p w14:paraId="13408A8E" w14:textId="77777777" w:rsidR="00944A4E" w:rsidRPr="00944A4E" w:rsidRDefault="00944A4E" w:rsidP="00944A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Administrative dashboards</w:t>
      </w:r>
    </w:p>
    <w:p w14:paraId="2E1027ED" w14:textId="77777777" w:rsidR="00944A4E" w:rsidRPr="00944A4E" w:rsidRDefault="00944A4E" w:rsidP="00944A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Regulatory reporting tools</w:t>
      </w:r>
    </w:p>
    <w:p w14:paraId="3CD88DBC" w14:textId="77777777" w:rsidR="00944A4E" w:rsidRPr="00944A4E" w:rsidRDefault="00944A4E" w:rsidP="00944A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Full audit trails</w:t>
      </w:r>
    </w:p>
    <w:p w14:paraId="5AC22895" w14:textId="77777777" w:rsidR="00944A4E" w:rsidRPr="00944A4E" w:rsidRDefault="00944A4E" w:rsidP="00944A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Fraud detection and risk scoring engines</w:t>
      </w:r>
    </w:p>
    <w:p w14:paraId="659BBA50"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These features enable regulators to monitor financial activity while maintaining compliance with national banking laws.</w:t>
      </w:r>
    </w:p>
    <w:p w14:paraId="22477544"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5D198C93">
          <v:rect id="_x0000_i1033" style="width:0;height:1.5pt" o:hralign="center" o:hrstd="t" o:hr="t" fillcolor="#a0a0a0" stroked="f"/>
        </w:pict>
      </w:r>
    </w:p>
    <w:p w14:paraId="2A6A8241"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5. System Architecture</w:t>
      </w:r>
    </w:p>
    <w:p w14:paraId="5313B534"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5.1 Architectural Principles</w:t>
      </w:r>
    </w:p>
    <w:p w14:paraId="361B7192"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architecture must follow several core principles:</w:t>
      </w:r>
    </w:p>
    <w:p w14:paraId="55E0B42C" w14:textId="77777777" w:rsidR="00944A4E" w:rsidRPr="00944A4E" w:rsidRDefault="00944A4E" w:rsidP="00944A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Microservices-based design</w:t>
      </w:r>
    </w:p>
    <w:p w14:paraId="286CD66D" w14:textId="77777777" w:rsidR="00944A4E" w:rsidRPr="00944A4E" w:rsidRDefault="00944A4E" w:rsidP="00944A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Event-driven processing</w:t>
      </w:r>
    </w:p>
    <w:p w14:paraId="726AD049" w14:textId="77777777" w:rsidR="00944A4E" w:rsidRPr="00944A4E" w:rsidRDefault="00944A4E" w:rsidP="00944A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Horizontal scalability</w:t>
      </w:r>
    </w:p>
    <w:p w14:paraId="06C585AC" w14:textId="77777777" w:rsidR="00944A4E" w:rsidRPr="00944A4E" w:rsidRDefault="00944A4E" w:rsidP="00944A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High availability and fault tolerance</w:t>
      </w:r>
    </w:p>
    <w:p w14:paraId="62A5C26B" w14:textId="77777777" w:rsidR="00944A4E" w:rsidRPr="00944A4E" w:rsidRDefault="00944A4E" w:rsidP="00944A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b/>
          <w:bCs/>
          <w:kern w:val="0"/>
          <w:sz w:val="24"/>
          <w:szCs w:val="24"/>
          <w:lang w:eastAsia="en-IN"/>
          <w14:ligatures w14:val="none"/>
        </w:rPr>
        <w:t>Strong security controls</w:t>
      </w:r>
    </w:p>
    <w:p w14:paraId="0C205FC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This approach ensures flexibility and resilience under extreme transaction volumes.</w:t>
      </w:r>
    </w:p>
    <w:p w14:paraId="51075E7C"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3832BA9F">
          <v:rect id="_x0000_i1034" style="width:0;height:1.5pt" o:hralign="center" o:hrstd="t" o:hr="t" fillcolor="#a0a0a0" stroked="f"/>
        </w:pict>
      </w:r>
    </w:p>
    <w:p w14:paraId="22C0AB4B"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5.2 High-Level Architecture Components</w:t>
      </w:r>
    </w:p>
    <w:p w14:paraId="5478137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t>The system will include the following major components:</w:t>
      </w:r>
    </w:p>
    <w:p w14:paraId="1D8FB76A"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API Gateway</w:t>
      </w:r>
    </w:p>
    <w:p w14:paraId="2D7C28AA"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Acts as the primary entry point for external applications, managing authentication, rate limiting, and request routing.</w:t>
      </w:r>
    </w:p>
    <w:p w14:paraId="0F30BC5B"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Identity and KYC Services</w:t>
      </w:r>
    </w:p>
    <w:p w14:paraId="5BB6A42E"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Handles user onboarding, identity verification, and authentication.</w:t>
      </w:r>
    </w:p>
    <w:p w14:paraId="08C5709A"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Payment Processing Engine</w:t>
      </w:r>
    </w:p>
    <w:p w14:paraId="197D690A"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Core service responsible for transaction validation, authorization, and routing to participating banks.</w:t>
      </w:r>
    </w:p>
    <w:p w14:paraId="7B3354BC"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Bank Integration Layer</w:t>
      </w:r>
    </w:p>
    <w:p w14:paraId="7B46A1A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Facilitates secure communication with banking systems using standardized financial messaging protocols.</w:t>
      </w:r>
    </w:p>
    <w:p w14:paraId="5FB4C9DA"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Settlement Engine</w:t>
      </w:r>
    </w:p>
    <w:p w14:paraId="35B09AF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Manages reconciliation and settlement between banks.</w:t>
      </w:r>
    </w:p>
    <w:p w14:paraId="5335EFB6"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Fraud Detection System</w:t>
      </w:r>
    </w:p>
    <w:p w14:paraId="573A0E3B"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Real-time monitoring of transactions using rule-based and machine-learning risk models.</w:t>
      </w:r>
    </w:p>
    <w:p w14:paraId="6940C399"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Notification Service</w:t>
      </w:r>
    </w:p>
    <w:p w14:paraId="749CC070"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Sends real-time transaction confirmations to users and merchants.</w:t>
      </w:r>
    </w:p>
    <w:p w14:paraId="3C8F6C31"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Data and Analytics Platform</w:t>
      </w:r>
    </w:p>
    <w:p w14:paraId="6536760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Supports reporting, auditing, and regulatory compliance.</w:t>
      </w:r>
    </w:p>
    <w:p w14:paraId="755AEFC3"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0D2E29BA">
          <v:rect id="_x0000_i1035" style="width:0;height:1.5pt" o:hralign="center" o:hrstd="t" o:hr="t" fillcolor="#a0a0a0" stroked="f"/>
        </w:pict>
      </w:r>
    </w:p>
    <w:p w14:paraId="3CAD0A65"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6. Scalability and Performance Strategy</w:t>
      </w:r>
    </w:p>
    <w:p w14:paraId="55749696"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platform must support </w:t>
      </w:r>
      <w:r w:rsidRPr="00944A4E">
        <w:rPr>
          <w:rFonts w:ascii="Times New Roman" w:eastAsia="Times New Roman" w:hAnsi="Times New Roman" w:cs="Times New Roman"/>
          <w:b/>
          <w:bCs/>
          <w:kern w:val="0"/>
          <w:sz w:val="24"/>
          <w:szCs w:val="24"/>
          <w:lang w:eastAsia="en-IN"/>
          <w14:ligatures w14:val="none"/>
        </w:rPr>
        <w:t>peak loads exceeding 50,000 TPS</w:t>
      </w:r>
      <w:r w:rsidRPr="00944A4E">
        <w:rPr>
          <w:rFonts w:ascii="Times New Roman" w:eastAsia="Times New Roman" w:hAnsi="Times New Roman" w:cs="Times New Roman"/>
          <w:kern w:val="0"/>
          <w:sz w:val="24"/>
          <w:szCs w:val="24"/>
          <w:lang w:eastAsia="en-IN"/>
          <w14:ligatures w14:val="none"/>
        </w:rPr>
        <w:t xml:space="preserve">, with potential spikes up to </w:t>
      </w:r>
      <w:r w:rsidRPr="00944A4E">
        <w:rPr>
          <w:rFonts w:ascii="Times New Roman" w:eastAsia="Times New Roman" w:hAnsi="Times New Roman" w:cs="Times New Roman"/>
          <w:b/>
          <w:bCs/>
          <w:kern w:val="0"/>
          <w:sz w:val="24"/>
          <w:szCs w:val="24"/>
          <w:lang w:eastAsia="en-IN"/>
          <w14:ligatures w14:val="none"/>
        </w:rPr>
        <w:t>500,000 TPS during national events</w:t>
      </w:r>
      <w:r w:rsidRPr="00944A4E">
        <w:rPr>
          <w:rFonts w:ascii="Times New Roman" w:eastAsia="Times New Roman" w:hAnsi="Times New Roman" w:cs="Times New Roman"/>
          <w:kern w:val="0"/>
          <w:sz w:val="24"/>
          <w:szCs w:val="24"/>
          <w:lang w:eastAsia="en-IN"/>
          <w14:ligatures w14:val="none"/>
        </w:rPr>
        <w:t>.</w:t>
      </w:r>
    </w:p>
    <w:p w14:paraId="74C1E6C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To achieve this, the architecture will employ:</w:t>
      </w:r>
    </w:p>
    <w:p w14:paraId="4DBF953F"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Horizontal Scaling</w:t>
      </w:r>
    </w:p>
    <w:p w14:paraId="49CD5ED6"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t>All services are stateless and deployable across distributed clusters.</w:t>
      </w:r>
    </w:p>
    <w:p w14:paraId="66BC267C"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Distributed Messaging Systems</w:t>
      </w:r>
    </w:p>
    <w:p w14:paraId="5B1D4EB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High-throughput messaging infrastructure ensures reliable event processing.</w:t>
      </w:r>
    </w:p>
    <w:p w14:paraId="0E61C35C"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Intelligent Load Balancing</w:t>
      </w:r>
    </w:p>
    <w:p w14:paraId="57906415" w14:textId="4867931B"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Traffic is dynamically distributed across data </w:t>
      </w:r>
      <w:r w:rsidRPr="00944A4E">
        <w:rPr>
          <w:rFonts w:ascii="Times New Roman" w:eastAsia="Times New Roman" w:hAnsi="Times New Roman" w:cs="Times New Roman"/>
          <w:kern w:val="0"/>
          <w:sz w:val="24"/>
          <w:szCs w:val="24"/>
          <w:lang w:eastAsia="en-IN"/>
          <w14:ligatures w14:val="none"/>
        </w:rPr>
        <w:t>centres</w:t>
      </w:r>
      <w:r w:rsidRPr="00944A4E">
        <w:rPr>
          <w:rFonts w:ascii="Times New Roman" w:eastAsia="Times New Roman" w:hAnsi="Times New Roman" w:cs="Times New Roman"/>
          <w:kern w:val="0"/>
          <w:sz w:val="24"/>
          <w:szCs w:val="24"/>
          <w:lang w:eastAsia="en-IN"/>
          <w14:ligatures w14:val="none"/>
        </w:rPr>
        <w:t xml:space="preserve"> and service clusters.</w:t>
      </w:r>
    </w:p>
    <w:p w14:paraId="595C544A"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Elastic Infrastructure</w:t>
      </w:r>
    </w:p>
    <w:p w14:paraId="461A92D8"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Cloud-native infrastructure allows rapid resource scaling during high-demand periods such as salary days or festivals.</w:t>
      </w:r>
    </w:p>
    <w:p w14:paraId="04803AE5"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3F036E61">
          <v:rect id="_x0000_i1036" style="width:0;height:1.5pt" o:hralign="center" o:hrstd="t" o:hr="t" fillcolor="#a0a0a0" stroked="f"/>
        </w:pict>
      </w:r>
    </w:p>
    <w:p w14:paraId="46600F2D"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7. Security and Compliance</w:t>
      </w:r>
    </w:p>
    <w:p w14:paraId="6E32FCB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Given the financial sensitivity of the system, strict security measures are required.</w:t>
      </w:r>
    </w:p>
    <w:p w14:paraId="35163B12"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7.1 Data Protection</w:t>
      </w:r>
    </w:p>
    <w:p w14:paraId="30E4F0BD" w14:textId="77777777" w:rsidR="00944A4E" w:rsidRPr="00944A4E" w:rsidRDefault="00944A4E" w:rsidP="00944A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End-to-end encryption</w:t>
      </w:r>
    </w:p>
    <w:p w14:paraId="59F45C46" w14:textId="77777777" w:rsidR="00944A4E" w:rsidRPr="00944A4E" w:rsidRDefault="00944A4E" w:rsidP="00944A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Secure key management</w:t>
      </w:r>
    </w:p>
    <w:p w14:paraId="0E84CC90" w14:textId="77777777" w:rsidR="00944A4E" w:rsidRPr="00944A4E" w:rsidRDefault="00944A4E" w:rsidP="00944A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Encryption of data both in transit and at rest</w:t>
      </w:r>
    </w:p>
    <w:p w14:paraId="17A86FB4"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7.2 Authentication and Authorization</w:t>
      </w:r>
    </w:p>
    <w:p w14:paraId="33D2197E" w14:textId="77777777" w:rsidR="00944A4E" w:rsidRPr="00944A4E" w:rsidRDefault="00944A4E" w:rsidP="00944A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Multi-factor authentication</w:t>
      </w:r>
    </w:p>
    <w:p w14:paraId="1E28CD18" w14:textId="77777777" w:rsidR="00944A4E" w:rsidRPr="00944A4E" w:rsidRDefault="00944A4E" w:rsidP="00944A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Secure token-based session management</w:t>
      </w:r>
    </w:p>
    <w:p w14:paraId="1E50CECA" w14:textId="77777777" w:rsidR="00944A4E" w:rsidRPr="00944A4E" w:rsidRDefault="00944A4E" w:rsidP="00944A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Role-based access control for administrators</w:t>
      </w:r>
    </w:p>
    <w:p w14:paraId="1D19D049" w14:textId="77777777" w:rsidR="00944A4E" w:rsidRPr="00944A4E" w:rsidRDefault="00944A4E" w:rsidP="00944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4A4E">
        <w:rPr>
          <w:rFonts w:ascii="Times New Roman" w:eastAsia="Times New Roman" w:hAnsi="Times New Roman" w:cs="Times New Roman"/>
          <w:b/>
          <w:bCs/>
          <w:kern w:val="0"/>
          <w:sz w:val="36"/>
          <w:szCs w:val="36"/>
          <w:lang w:eastAsia="en-IN"/>
          <w14:ligatures w14:val="none"/>
        </w:rPr>
        <w:t>7.3 Compliance Framework</w:t>
      </w:r>
    </w:p>
    <w:p w14:paraId="02583D24"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platform will comply with:</w:t>
      </w:r>
    </w:p>
    <w:p w14:paraId="0E2E3F89" w14:textId="77777777" w:rsidR="00944A4E" w:rsidRPr="00944A4E" w:rsidRDefault="00944A4E" w:rsidP="00944A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PCI DSS payment security standards</w:t>
      </w:r>
    </w:p>
    <w:p w14:paraId="1F4819C1" w14:textId="77777777" w:rsidR="00944A4E" w:rsidRPr="00944A4E" w:rsidRDefault="00944A4E" w:rsidP="00944A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ISO 27001 information security frameworks</w:t>
      </w:r>
    </w:p>
    <w:p w14:paraId="2C10C753" w14:textId="77777777" w:rsidR="00944A4E" w:rsidRPr="00944A4E" w:rsidRDefault="00944A4E" w:rsidP="00944A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National banking regulations</w:t>
      </w:r>
    </w:p>
    <w:p w14:paraId="1ABB7633" w14:textId="77777777" w:rsidR="00944A4E" w:rsidRPr="00944A4E" w:rsidRDefault="00944A4E" w:rsidP="00944A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Data residency and sovereignty requirements</w:t>
      </w:r>
    </w:p>
    <w:p w14:paraId="24B23B1A"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01AE66B8">
          <v:rect id="_x0000_i1037" style="width:0;height:1.5pt" o:hralign="center" o:hrstd="t" o:hr="t" fillcolor="#a0a0a0" stroked="f"/>
        </w:pict>
      </w:r>
    </w:p>
    <w:p w14:paraId="64920D3D"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8. Reliability and Resilience</w:t>
      </w:r>
    </w:p>
    <w:p w14:paraId="5212D13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t xml:space="preserve">The NRPS must guarantee </w:t>
      </w:r>
      <w:r w:rsidRPr="00944A4E">
        <w:rPr>
          <w:rFonts w:ascii="Times New Roman" w:eastAsia="Times New Roman" w:hAnsi="Times New Roman" w:cs="Times New Roman"/>
          <w:b/>
          <w:bCs/>
          <w:kern w:val="0"/>
          <w:sz w:val="24"/>
          <w:szCs w:val="24"/>
          <w:lang w:eastAsia="en-IN"/>
          <w14:ligatures w14:val="none"/>
        </w:rPr>
        <w:t>99.999% uptime</w:t>
      </w:r>
      <w:r w:rsidRPr="00944A4E">
        <w:rPr>
          <w:rFonts w:ascii="Times New Roman" w:eastAsia="Times New Roman" w:hAnsi="Times New Roman" w:cs="Times New Roman"/>
          <w:kern w:val="0"/>
          <w:sz w:val="24"/>
          <w:szCs w:val="24"/>
          <w:lang w:eastAsia="en-IN"/>
          <w14:ligatures w14:val="none"/>
        </w:rPr>
        <w:t>, equivalent to less than six minutes of downtime per year.</w:t>
      </w:r>
    </w:p>
    <w:p w14:paraId="36F15F69"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Key resilience mechanisms include:</w:t>
      </w:r>
    </w:p>
    <w:p w14:paraId="64E6019B"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Multi-Region Deployment</w:t>
      </w:r>
    </w:p>
    <w:p w14:paraId="66D87591" w14:textId="714845FB"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Critical services are deployed across multiple geographically distributed data </w:t>
      </w:r>
      <w:r w:rsidRPr="00944A4E">
        <w:rPr>
          <w:rFonts w:ascii="Times New Roman" w:eastAsia="Times New Roman" w:hAnsi="Times New Roman" w:cs="Times New Roman"/>
          <w:kern w:val="0"/>
          <w:sz w:val="24"/>
          <w:szCs w:val="24"/>
          <w:lang w:eastAsia="en-IN"/>
          <w14:ligatures w14:val="none"/>
        </w:rPr>
        <w:t>centres</w:t>
      </w:r>
      <w:r w:rsidRPr="00944A4E">
        <w:rPr>
          <w:rFonts w:ascii="Times New Roman" w:eastAsia="Times New Roman" w:hAnsi="Times New Roman" w:cs="Times New Roman"/>
          <w:kern w:val="0"/>
          <w:sz w:val="24"/>
          <w:szCs w:val="24"/>
          <w:lang w:eastAsia="en-IN"/>
          <w14:ligatures w14:val="none"/>
        </w:rPr>
        <w:t>.</w:t>
      </w:r>
    </w:p>
    <w:p w14:paraId="192328D9"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Automatic Failover</w:t>
      </w:r>
    </w:p>
    <w:p w14:paraId="74E2D942"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Traffic automatically shifts to healthy infrastructure during outages.</w:t>
      </w:r>
    </w:p>
    <w:p w14:paraId="3DB59D4E"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Graceful Degradation</w:t>
      </w:r>
    </w:p>
    <w:p w14:paraId="7B609B90"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If specific banks experience outages, the system can temporarily queue or reroute transactions.</w:t>
      </w:r>
    </w:p>
    <w:p w14:paraId="443CE889"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Real-Time Monitoring</w:t>
      </w:r>
    </w:p>
    <w:p w14:paraId="6FB1A81B"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Advanced monitoring tools track system performance and trigger automated alerts.</w:t>
      </w:r>
    </w:p>
    <w:p w14:paraId="0D8B19EF"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1AA74E67">
          <v:rect id="_x0000_i1038" style="width:0;height:1.5pt" o:hralign="center" o:hrstd="t" o:hr="t" fillcolor="#a0a0a0" stroked="f"/>
        </w:pict>
      </w:r>
    </w:p>
    <w:p w14:paraId="2C6E9EB2"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9. Fraud Detection and Risk Management</w:t>
      </w:r>
    </w:p>
    <w:p w14:paraId="2ACAE756"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Fraud detection must operate in </w:t>
      </w:r>
      <w:r w:rsidRPr="00944A4E">
        <w:rPr>
          <w:rFonts w:ascii="Times New Roman" w:eastAsia="Times New Roman" w:hAnsi="Times New Roman" w:cs="Times New Roman"/>
          <w:b/>
          <w:bCs/>
          <w:kern w:val="0"/>
          <w:sz w:val="24"/>
          <w:szCs w:val="24"/>
          <w:lang w:eastAsia="en-IN"/>
          <w14:ligatures w14:val="none"/>
        </w:rPr>
        <w:t>real time without increasing transaction latency</w:t>
      </w:r>
      <w:r w:rsidRPr="00944A4E">
        <w:rPr>
          <w:rFonts w:ascii="Times New Roman" w:eastAsia="Times New Roman" w:hAnsi="Times New Roman" w:cs="Times New Roman"/>
          <w:kern w:val="0"/>
          <w:sz w:val="24"/>
          <w:szCs w:val="24"/>
          <w:lang w:eastAsia="en-IN"/>
          <w14:ligatures w14:val="none"/>
        </w:rPr>
        <w:t>.</w:t>
      </w:r>
    </w:p>
    <w:p w14:paraId="45198B75"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Key mechanisms include:</w:t>
      </w:r>
    </w:p>
    <w:p w14:paraId="0007F0B5" w14:textId="77777777" w:rsidR="00944A4E" w:rsidRPr="00944A4E" w:rsidRDefault="00944A4E" w:rsidP="00944A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AI-based anomaly detection</w:t>
      </w:r>
    </w:p>
    <w:p w14:paraId="4BAA0421" w14:textId="494945DE" w:rsidR="00944A4E" w:rsidRPr="00944A4E" w:rsidRDefault="00944A4E" w:rsidP="00944A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Behavioural</w:t>
      </w:r>
      <w:r w:rsidRPr="00944A4E">
        <w:rPr>
          <w:rFonts w:ascii="Times New Roman" w:eastAsia="Times New Roman" w:hAnsi="Times New Roman" w:cs="Times New Roman"/>
          <w:kern w:val="0"/>
          <w:sz w:val="24"/>
          <w:szCs w:val="24"/>
          <w:lang w:eastAsia="en-IN"/>
          <w14:ligatures w14:val="none"/>
        </w:rPr>
        <w:t xml:space="preserve"> analytics</w:t>
      </w:r>
    </w:p>
    <w:p w14:paraId="546D3E8E" w14:textId="77777777" w:rsidR="00944A4E" w:rsidRPr="00944A4E" w:rsidRDefault="00944A4E" w:rsidP="00944A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Transaction velocity monitoring</w:t>
      </w:r>
    </w:p>
    <w:p w14:paraId="7E05A985" w14:textId="77777777" w:rsidR="00944A4E" w:rsidRPr="00944A4E" w:rsidRDefault="00944A4E" w:rsidP="00944A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Risk scoring before payment approval</w:t>
      </w:r>
    </w:p>
    <w:p w14:paraId="3A454EA6"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High-risk transactions may require </w:t>
      </w:r>
      <w:r w:rsidRPr="00944A4E">
        <w:rPr>
          <w:rFonts w:ascii="Times New Roman" w:eastAsia="Times New Roman" w:hAnsi="Times New Roman" w:cs="Times New Roman"/>
          <w:b/>
          <w:bCs/>
          <w:kern w:val="0"/>
          <w:sz w:val="24"/>
          <w:szCs w:val="24"/>
          <w:lang w:eastAsia="en-IN"/>
          <w14:ligatures w14:val="none"/>
        </w:rPr>
        <w:t>additional authentication or manual review</w:t>
      </w:r>
      <w:r w:rsidRPr="00944A4E">
        <w:rPr>
          <w:rFonts w:ascii="Times New Roman" w:eastAsia="Times New Roman" w:hAnsi="Times New Roman" w:cs="Times New Roman"/>
          <w:kern w:val="0"/>
          <w:sz w:val="24"/>
          <w:szCs w:val="24"/>
          <w:lang w:eastAsia="en-IN"/>
          <w14:ligatures w14:val="none"/>
        </w:rPr>
        <w:t>.</w:t>
      </w:r>
    </w:p>
    <w:p w14:paraId="0FE70F8C"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1F7789AF">
          <v:rect id="_x0000_i1039" style="width:0;height:1.5pt" o:hralign="center" o:hrstd="t" o:hr="t" fillcolor="#a0a0a0" stroked="f"/>
        </w:pict>
      </w:r>
    </w:p>
    <w:p w14:paraId="2E4C2E26"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10. Future Expansion: Cross-Border Payments</w:t>
      </w:r>
    </w:p>
    <w:p w14:paraId="3B933BCD"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The platform is designed to support future international payment interoperability.</w:t>
      </w:r>
    </w:p>
    <w:p w14:paraId="1A69F2B4"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Key capabilities required include:</w:t>
      </w:r>
    </w:p>
    <w:p w14:paraId="6D90A4F3"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lastRenderedPageBreak/>
        <w:t>Currency Conversion</w:t>
      </w:r>
    </w:p>
    <w:p w14:paraId="6114FC01"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Real-time exchange rate integration and multi-currency wallets.</w:t>
      </w:r>
    </w:p>
    <w:p w14:paraId="7D14AAC5"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Cross-Border Settlement</w:t>
      </w:r>
    </w:p>
    <w:p w14:paraId="1CE843CD"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Integration with international settlement networks and partner central banks.</w:t>
      </w:r>
    </w:p>
    <w:p w14:paraId="157DC93F"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Foreign Bank Integration</w:t>
      </w:r>
    </w:p>
    <w:p w14:paraId="159E2B17"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Standardized APIs for foreign financial institutions.</w:t>
      </w:r>
    </w:p>
    <w:p w14:paraId="6FE7C37B"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Regulatory Compliance</w:t>
      </w:r>
    </w:p>
    <w:p w14:paraId="29433361"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Adherence to international financial regulations such as anti-money laundering (AML) and counter-terrorism financing (CTF).</w:t>
      </w:r>
    </w:p>
    <w:p w14:paraId="1216E715"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This expansion could enable the platform to become a </w:t>
      </w:r>
      <w:r w:rsidRPr="00944A4E">
        <w:rPr>
          <w:rFonts w:ascii="Times New Roman" w:eastAsia="Times New Roman" w:hAnsi="Times New Roman" w:cs="Times New Roman"/>
          <w:b/>
          <w:bCs/>
          <w:kern w:val="0"/>
          <w:sz w:val="24"/>
          <w:szCs w:val="24"/>
          <w:lang w:eastAsia="en-IN"/>
          <w14:ligatures w14:val="none"/>
        </w:rPr>
        <w:t>regional digital payments hub</w:t>
      </w:r>
      <w:r w:rsidRPr="00944A4E">
        <w:rPr>
          <w:rFonts w:ascii="Times New Roman" w:eastAsia="Times New Roman" w:hAnsi="Times New Roman" w:cs="Times New Roman"/>
          <w:kern w:val="0"/>
          <w:sz w:val="24"/>
          <w:szCs w:val="24"/>
          <w:lang w:eastAsia="en-IN"/>
          <w14:ligatures w14:val="none"/>
        </w:rPr>
        <w:t>.</w:t>
      </w:r>
    </w:p>
    <w:p w14:paraId="13ABD81D"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pict w14:anchorId="47E9B4E6">
          <v:rect id="_x0000_i1040" style="width:0;height:1.5pt" o:hralign="center" o:hrstd="t" o:hr="t" fillcolor="#a0a0a0" stroked="f"/>
        </w:pict>
      </w:r>
    </w:p>
    <w:p w14:paraId="428E8EF3"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11. Implementation Roadmap</w:t>
      </w:r>
    </w:p>
    <w:p w14:paraId="720EE5E1"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 phased implementation approach is recommended.</w:t>
      </w:r>
    </w:p>
    <w:p w14:paraId="4095CE44"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Phase 1 – Core Infrastructure</w:t>
      </w:r>
    </w:p>
    <w:p w14:paraId="4E16E556" w14:textId="77777777" w:rsidR="00944A4E" w:rsidRPr="00944A4E" w:rsidRDefault="00944A4E" w:rsidP="00944A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Payment processing engine</w:t>
      </w:r>
    </w:p>
    <w:p w14:paraId="5F68FDE4" w14:textId="77777777" w:rsidR="00944A4E" w:rsidRPr="00944A4E" w:rsidRDefault="00944A4E" w:rsidP="00944A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Bank integration layer</w:t>
      </w:r>
    </w:p>
    <w:p w14:paraId="59E0F203" w14:textId="77777777" w:rsidR="00944A4E" w:rsidRPr="00944A4E" w:rsidRDefault="00944A4E" w:rsidP="00944A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User onboarding and authentication</w:t>
      </w:r>
    </w:p>
    <w:p w14:paraId="25B1434B"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Phase 2 – Merchant Ecosystem</w:t>
      </w:r>
    </w:p>
    <w:p w14:paraId="1C6F64CC" w14:textId="77777777" w:rsidR="00944A4E" w:rsidRPr="00944A4E" w:rsidRDefault="00944A4E" w:rsidP="00944A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QR payment infrastructure</w:t>
      </w:r>
    </w:p>
    <w:p w14:paraId="787AA3B3" w14:textId="77777777" w:rsidR="00944A4E" w:rsidRPr="00944A4E" w:rsidRDefault="00944A4E" w:rsidP="00944A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Merchant dashboards</w:t>
      </w:r>
    </w:p>
    <w:p w14:paraId="13E6EFB5" w14:textId="77777777" w:rsidR="00944A4E" w:rsidRPr="00944A4E" w:rsidRDefault="00944A4E" w:rsidP="00944A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POS integrations</w:t>
      </w:r>
    </w:p>
    <w:p w14:paraId="1D86B8F7"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Phase 3 – Advanced Capabilities</w:t>
      </w:r>
    </w:p>
    <w:p w14:paraId="547296C6" w14:textId="77777777" w:rsidR="00944A4E" w:rsidRPr="00944A4E" w:rsidRDefault="00944A4E" w:rsidP="00944A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Fraud detection AI</w:t>
      </w:r>
    </w:p>
    <w:p w14:paraId="4B0F08DD" w14:textId="77777777" w:rsidR="00944A4E" w:rsidRPr="00944A4E" w:rsidRDefault="00944A4E" w:rsidP="00944A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Analytics and reporting</w:t>
      </w:r>
    </w:p>
    <w:p w14:paraId="1AD3E572" w14:textId="77777777" w:rsidR="00944A4E" w:rsidRPr="00944A4E" w:rsidRDefault="00944A4E" w:rsidP="00944A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API ecosystem for fintech</w:t>
      </w:r>
    </w:p>
    <w:p w14:paraId="4E16141D" w14:textId="77777777" w:rsidR="00944A4E" w:rsidRPr="00944A4E" w:rsidRDefault="00944A4E" w:rsidP="00944A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4A4E">
        <w:rPr>
          <w:rFonts w:ascii="Times New Roman" w:eastAsia="Times New Roman" w:hAnsi="Times New Roman" w:cs="Times New Roman"/>
          <w:b/>
          <w:bCs/>
          <w:kern w:val="0"/>
          <w:sz w:val="27"/>
          <w:szCs w:val="27"/>
          <w:lang w:eastAsia="en-IN"/>
          <w14:ligatures w14:val="none"/>
        </w:rPr>
        <w:t>Phase 4 – International Expansion</w:t>
      </w:r>
    </w:p>
    <w:p w14:paraId="400E843C" w14:textId="77777777" w:rsidR="00944A4E" w:rsidRPr="00944A4E" w:rsidRDefault="00944A4E" w:rsidP="00944A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Multi-currency payments</w:t>
      </w:r>
    </w:p>
    <w:p w14:paraId="07F3DAA0" w14:textId="77777777" w:rsidR="00944A4E" w:rsidRPr="00944A4E" w:rsidRDefault="00944A4E" w:rsidP="00944A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Cross-border bank integrations</w:t>
      </w:r>
    </w:p>
    <w:p w14:paraId="3116E406" w14:textId="77777777" w:rsidR="00944A4E" w:rsidRPr="00944A4E" w:rsidRDefault="00944A4E" w:rsidP="00944A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Global regulatory compliance</w:t>
      </w:r>
    </w:p>
    <w:p w14:paraId="563680FC" w14:textId="77777777" w:rsidR="00944A4E" w:rsidRPr="00944A4E" w:rsidRDefault="00944A4E" w:rsidP="00944A4E">
      <w:pPr>
        <w:spacing w:after="0"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lastRenderedPageBreak/>
        <w:pict w14:anchorId="6BCDA97A">
          <v:rect id="_x0000_i1041" style="width:0;height:1.5pt" o:hralign="center" o:hrstd="t" o:hr="t" fillcolor="#a0a0a0" stroked="f"/>
        </w:pict>
      </w:r>
    </w:p>
    <w:p w14:paraId="03FF3657" w14:textId="77777777" w:rsidR="00944A4E" w:rsidRPr="00944A4E" w:rsidRDefault="00944A4E" w:rsidP="00944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4A4E">
        <w:rPr>
          <w:rFonts w:ascii="Times New Roman" w:eastAsia="Times New Roman" w:hAnsi="Times New Roman" w:cs="Times New Roman"/>
          <w:b/>
          <w:bCs/>
          <w:kern w:val="36"/>
          <w:sz w:val="48"/>
          <w:szCs w:val="48"/>
          <w:lang w:eastAsia="en-IN"/>
          <w14:ligatures w14:val="none"/>
        </w:rPr>
        <w:t>12. Conclusion</w:t>
      </w:r>
    </w:p>
    <w:p w14:paraId="70D46592"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proposed National Real-Time Payments System represents a </w:t>
      </w:r>
      <w:r w:rsidRPr="00944A4E">
        <w:rPr>
          <w:rFonts w:ascii="Times New Roman" w:eastAsia="Times New Roman" w:hAnsi="Times New Roman" w:cs="Times New Roman"/>
          <w:b/>
          <w:bCs/>
          <w:kern w:val="0"/>
          <w:sz w:val="24"/>
          <w:szCs w:val="24"/>
          <w:lang w:eastAsia="en-IN"/>
          <w14:ligatures w14:val="none"/>
        </w:rPr>
        <w:t>critical digital infrastructure investment</w:t>
      </w:r>
      <w:r w:rsidRPr="00944A4E">
        <w:rPr>
          <w:rFonts w:ascii="Times New Roman" w:eastAsia="Times New Roman" w:hAnsi="Times New Roman" w:cs="Times New Roman"/>
          <w:kern w:val="0"/>
          <w:sz w:val="24"/>
          <w:szCs w:val="24"/>
          <w:lang w:eastAsia="en-IN"/>
          <w14:ligatures w14:val="none"/>
        </w:rPr>
        <w:t xml:space="preserve"> capable of transforming the country's financial ecosystem.</w:t>
      </w:r>
    </w:p>
    <w:p w14:paraId="1F49743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By enabling </w:t>
      </w:r>
      <w:r w:rsidRPr="00944A4E">
        <w:rPr>
          <w:rFonts w:ascii="Times New Roman" w:eastAsia="Times New Roman" w:hAnsi="Times New Roman" w:cs="Times New Roman"/>
          <w:b/>
          <w:bCs/>
          <w:kern w:val="0"/>
          <w:sz w:val="24"/>
          <w:szCs w:val="24"/>
          <w:lang w:eastAsia="en-IN"/>
          <w14:ligatures w14:val="none"/>
        </w:rPr>
        <w:t>instant, secure, and scalable digital transactions</w:t>
      </w:r>
      <w:r w:rsidRPr="00944A4E">
        <w:rPr>
          <w:rFonts w:ascii="Times New Roman" w:eastAsia="Times New Roman" w:hAnsi="Times New Roman" w:cs="Times New Roman"/>
          <w:kern w:val="0"/>
          <w:sz w:val="24"/>
          <w:szCs w:val="24"/>
          <w:lang w:eastAsia="en-IN"/>
          <w14:ligatures w14:val="none"/>
        </w:rPr>
        <w:t>, the platform can significantly reduce reliance on cash while fostering innovation in fintech and commerce.</w:t>
      </w:r>
    </w:p>
    <w:p w14:paraId="5FFB7A34"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The system’s architecture—built on </w:t>
      </w:r>
      <w:r w:rsidRPr="00944A4E">
        <w:rPr>
          <w:rFonts w:ascii="Times New Roman" w:eastAsia="Times New Roman" w:hAnsi="Times New Roman" w:cs="Times New Roman"/>
          <w:b/>
          <w:bCs/>
          <w:kern w:val="0"/>
          <w:sz w:val="24"/>
          <w:szCs w:val="24"/>
          <w:lang w:eastAsia="en-IN"/>
          <w14:ligatures w14:val="none"/>
        </w:rPr>
        <w:t>microservices, event-driven processing, and distributed infrastructure—ensures the scalability and resilience required for national-scale adoption</w:t>
      </w:r>
      <w:r w:rsidRPr="00944A4E">
        <w:rPr>
          <w:rFonts w:ascii="Times New Roman" w:eastAsia="Times New Roman" w:hAnsi="Times New Roman" w:cs="Times New Roman"/>
          <w:kern w:val="0"/>
          <w:sz w:val="24"/>
          <w:szCs w:val="24"/>
          <w:lang w:eastAsia="en-IN"/>
          <w14:ligatures w14:val="none"/>
        </w:rPr>
        <w:t xml:space="preserve">. Moreover, its design anticipates future evolution into a </w:t>
      </w:r>
      <w:r w:rsidRPr="00944A4E">
        <w:rPr>
          <w:rFonts w:ascii="Times New Roman" w:eastAsia="Times New Roman" w:hAnsi="Times New Roman" w:cs="Times New Roman"/>
          <w:b/>
          <w:bCs/>
          <w:kern w:val="0"/>
          <w:sz w:val="24"/>
          <w:szCs w:val="24"/>
          <w:lang w:eastAsia="en-IN"/>
          <w14:ligatures w14:val="none"/>
        </w:rPr>
        <w:t>cross-border real-time payments network</w:t>
      </w:r>
      <w:r w:rsidRPr="00944A4E">
        <w:rPr>
          <w:rFonts w:ascii="Times New Roman" w:eastAsia="Times New Roman" w:hAnsi="Times New Roman" w:cs="Times New Roman"/>
          <w:kern w:val="0"/>
          <w:sz w:val="24"/>
          <w:szCs w:val="24"/>
          <w:lang w:eastAsia="en-IN"/>
          <w14:ligatures w14:val="none"/>
        </w:rPr>
        <w:t>, strengthening international financial connectivity.</w:t>
      </w:r>
    </w:p>
    <w:p w14:paraId="4D8C0723" w14:textId="77777777" w:rsidR="00944A4E" w:rsidRPr="00944A4E" w:rsidRDefault="00944A4E" w:rsidP="00944A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4A4E">
        <w:rPr>
          <w:rFonts w:ascii="Times New Roman" w:eastAsia="Times New Roman" w:hAnsi="Times New Roman" w:cs="Times New Roman"/>
          <w:kern w:val="0"/>
          <w:sz w:val="24"/>
          <w:szCs w:val="24"/>
          <w:lang w:eastAsia="en-IN"/>
          <w14:ligatures w14:val="none"/>
        </w:rPr>
        <w:t xml:space="preserve">With appropriate governance, strong regulatory alignment, and strategic implementation, the NRPS has the potential to become </w:t>
      </w:r>
      <w:r w:rsidRPr="00944A4E">
        <w:rPr>
          <w:rFonts w:ascii="Times New Roman" w:eastAsia="Times New Roman" w:hAnsi="Times New Roman" w:cs="Times New Roman"/>
          <w:b/>
          <w:bCs/>
          <w:kern w:val="0"/>
          <w:sz w:val="24"/>
          <w:szCs w:val="24"/>
          <w:lang w:eastAsia="en-IN"/>
          <w14:ligatures w14:val="none"/>
        </w:rPr>
        <w:t>a cornerstone of modern digital finance and a model for real-time payment infrastructures globally</w:t>
      </w:r>
      <w:r w:rsidRPr="00944A4E">
        <w:rPr>
          <w:rFonts w:ascii="Times New Roman" w:eastAsia="Times New Roman" w:hAnsi="Times New Roman" w:cs="Times New Roman"/>
          <w:kern w:val="0"/>
          <w:sz w:val="24"/>
          <w:szCs w:val="24"/>
          <w:lang w:eastAsia="en-IN"/>
          <w14:ligatures w14:val="none"/>
        </w:rPr>
        <w:t>.</w:t>
      </w:r>
    </w:p>
    <w:p w14:paraId="6AD74C0B" w14:textId="77777777" w:rsidR="00A67E9A" w:rsidRDefault="00A67E9A"/>
    <w:sectPr w:rsidR="00A67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F137A"/>
    <w:multiLevelType w:val="multilevel"/>
    <w:tmpl w:val="B34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52CE5"/>
    <w:multiLevelType w:val="multilevel"/>
    <w:tmpl w:val="157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A2866"/>
    <w:multiLevelType w:val="multilevel"/>
    <w:tmpl w:val="123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C6988"/>
    <w:multiLevelType w:val="multilevel"/>
    <w:tmpl w:val="995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23995"/>
    <w:multiLevelType w:val="multilevel"/>
    <w:tmpl w:val="B30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05DAB"/>
    <w:multiLevelType w:val="multilevel"/>
    <w:tmpl w:val="761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15D26"/>
    <w:multiLevelType w:val="multilevel"/>
    <w:tmpl w:val="62B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9398D"/>
    <w:multiLevelType w:val="multilevel"/>
    <w:tmpl w:val="0F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05339"/>
    <w:multiLevelType w:val="multilevel"/>
    <w:tmpl w:val="ED7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D6F0A"/>
    <w:multiLevelType w:val="multilevel"/>
    <w:tmpl w:val="53F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D1BE4"/>
    <w:multiLevelType w:val="multilevel"/>
    <w:tmpl w:val="768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F3A8C"/>
    <w:multiLevelType w:val="multilevel"/>
    <w:tmpl w:val="908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15383"/>
    <w:multiLevelType w:val="multilevel"/>
    <w:tmpl w:val="03A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004FC"/>
    <w:multiLevelType w:val="multilevel"/>
    <w:tmpl w:val="D6A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B2913"/>
    <w:multiLevelType w:val="multilevel"/>
    <w:tmpl w:val="124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07008"/>
    <w:multiLevelType w:val="multilevel"/>
    <w:tmpl w:val="836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E7575"/>
    <w:multiLevelType w:val="multilevel"/>
    <w:tmpl w:val="A4F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71835"/>
    <w:multiLevelType w:val="multilevel"/>
    <w:tmpl w:val="A72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609194">
    <w:abstractNumId w:val="6"/>
  </w:num>
  <w:num w:numId="2" w16cid:durableId="1541016530">
    <w:abstractNumId w:val="2"/>
  </w:num>
  <w:num w:numId="3" w16cid:durableId="1163736092">
    <w:abstractNumId w:val="1"/>
  </w:num>
  <w:num w:numId="4" w16cid:durableId="1550144485">
    <w:abstractNumId w:val="7"/>
  </w:num>
  <w:num w:numId="5" w16cid:durableId="1419791095">
    <w:abstractNumId w:val="8"/>
  </w:num>
  <w:num w:numId="6" w16cid:durableId="59331354">
    <w:abstractNumId w:val="4"/>
  </w:num>
  <w:num w:numId="7" w16cid:durableId="169108831">
    <w:abstractNumId w:val="9"/>
  </w:num>
  <w:num w:numId="8" w16cid:durableId="1694837799">
    <w:abstractNumId w:val="3"/>
  </w:num>
  <w:num w:numId="9" w16cid:durableId="1433745016">
    <w:abstractNumId w:val="16"/>
  </w:num>
  <w:num w:numId="10" w16cid:durableId="552891466">
    <w:abstractNumId w:val="10"/>
  </w:num>
  <w:num w:numId="11" w16cid:durableId="612052600">
    <w:abstractNumId w:val="15"/>
  </w:num>
  <w:num w:numId="12" w16cid:durableId="1999259914">
    <w:abstractNumId w:val="13"/>
  </w:num>
  <w:num w:numId="13" w16cid:durableId="536889052">
    <w:abstractNumId w:val="5"/>
  </w:num>
  <w:num w:numId="14" w16cid:durableId="4678815">
    <w:abstractNumId w:val="0"/>
  </w:num>
  <w:num w:numId="15" w16cid:durableId="681669952">
    <w:abstractNumId w:val="12"/>
  </w:num>
  <w:num w:numId="16" w16cid:durableId="1125268509">
    <w:abstractNumId w:val="11"/>
  </w:num>
  <w:num w:numId="17" w16cid:durableId="1724401414">
    <w:abstractNumId w:val="14"/>
  </w:num>
  <w:num w:numId="18" w16cid:durableId="472211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4E"/>
    <w:rsid w:val="00755348"/>
    <w:rsid w:val="00944A4E"/>
    <w:rsid w:val="009652CB"/>
    <w:rsid w:val="00A67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24D6"/>
  <w15:chartTrackingRefBased/>
  <w15:docId w15:val="{679655E1-DA93-4FBC-AD54-7C5E49B0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4E"/>
    <w:rPr>
      <w:rFonts w:eastAsiaTheme="majorEastAsia" w:cstheme="majorBidi"/>
      <w:color w:val="272727" w:themeColor="text1" w:themeTint="D8"/>
    </w:rPr>
  </w:style>
  <w:style w:type="paragraph" w:styleId="Title">
    <w:name w:val="Title"/>
    <w:basedOn w:val="Normal"/>
    <w:next w:val="Normal"/>
    <w:link w:val="TitleChar"/>
    <w:uiPriority w:val="10"/>
    <w:qFormat/>
    <w:rsid w:val="0094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A4E"/>
    <w:pPr>
      <w:spacing w:before="160"/>
      <w:jc w:val="center"/>
    </w:pPr>
    <w:rPr>
      <w:i/>
      <w:iCs/>
      <w:color w:val="404040" w:themeColor="text1" w:themeTint="BF"/>
    </w:rPr>
  </w:style>
  <w:style w:type="character" w:customStyle="1" w:styleId="QuoteChar">
    <w:name w:val="Quote Char"/>
    <w:basedOn w:val="DefaultParagraphFont"/>
    <w:link w:val="Quote"/>
    <w:uiPriority w:val="29"/>
    <w:rsid w:val="00944A4E"/>
    <w:rPr>
      <w:i/>
      <w:iCs/>
      <w:color w:val="404040" w:themeColor="text1" w:themeTint="BF"/>
    </w:rPr>
  </w:style>
  <w:style w:type="paragraph" w:styleId="ListParagraph">
    <w:name w:val="List Paragraph"/>
    <w:basedOn w:val="Normal"/>
    <w:uiPriority w:val="34"/>
    <w:qFormat/>
    <w:rsid w:val="00944A4E"/>
    <w:pPr>
      <w:ind w:left="720"/>
      <w:contextualSpacing/>
    </w:pPr>
  </w:style>
  <w:style w:type="character" w:styleId="IntenseEmphasis">
    <w:name w:val="Intense Emphasis"/>
    <w:basedOn w:val="DefaultParagraphFont"/>
    <w:uiPriority w:val="21"/>
    <w:qFormat/>
    <w:rsid w:val="00944A4E"/>
    <w:rPr>
      <w:i/>
      <w:iCs/>
      <w:color w:val="2F5496" w:themeColor="accent1" w:themeShade="BF"/>
    </w:rPr>
  </w:style>
  <w:style w:type="paragraph" w:styleId="IntenseQuote">
    <w:name w:val="Intense Quote"/>
    <w:basedOn w:val="Normal"/>
    <w:next w:val="Normal"/>
    <w:link w:val="IntenseQuoteChar"/>
    <w:uiPriority w:val="30"/>
    <w:qFormat/>
    <w:rsid w:val="0094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A4E"/>
    <w:rPr>
      <w:i/>
      <w:iCs/>
      <w:color w:val="2F5496" w:themeColor="accent1" w:themeShade="BF"/>
    </w:rPr>
  </w:style>
  <w:style w:type="character" w:styleId="IntenseReference">
    <w:name w:val="Intense Reference"/>
    <w:basedOn w:val="DefaultParagraphFont"/>
    <w:uiPriority w:val="32"/>
    <w:qFormat/>
    <w:rsid w:val="00944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Raj</dc:creator>
  <cp:keywords/>
  <dc:description/>
  <cp:lastModifiedBy>Madhu Raj</cp:lastModifiedBy>
  <cp:revision>1</cp:revision>
  <dcterms:created xsi:type="dcterms:W3CDTF">2026-03-09T12:53:00Z</dcterms:created>
  <dcterms:modified xsi:type="dcterms:W3CDTF">2026-03-09T12:54:00Z</dcterms:modified>
</cp:coreProperties>
</file>