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600" w:after="120"/>
        <w:jc w:val="center"/>
      </w:pPr>
      <w:r>
        <w:rPr>
          <w:rFonts w:ascii="Arial" w:cs="Arial" w:eastAsia="Arial" w:hAnsi="Arial"/>
          <w:b/>
          <w:bCs/>
          <w:color w:val="1F3864"/>
          <w:sz w:val="52"/>
          <w:szCs w:val="52"/>
        </w:rPr>
        <w:t xml:space="preserve">NATIONAL REAL-TIME PAYMENTS SYSTEM</w:t>
      </w:r>
    </w:p>
    <w:p>
      <w:pPr>
        <w:spacing w:before="120" w:after="80"/>
        <w:jc w:val="center"/>
      </w:pPr>
      <w:r>
        <w:rPr>
          <w:rFonts w:ascii="Arial" w:cs="Arial" w:eastAsia="Arial" w:hAnsi="Arial"/>
          <w:color w:val="2E75B6"/>
          <w:sz w:val="30"/>
          <w:szCs w:val="30"/>
        </w:rPr>
        <w:t xml:space="preserve">Architecture Design &amp; Case Study Assignment</w:t>
      </w:r>
    </w:p>
    <w:p>
      <w:pPr>
        <w:spacing w:before="80" w:after="600"/>
        <w:jc w:val="center"/>
      </w:pPr>
      <w:r>
        <w:rPr>
          <w:rFonts w:ascii="Arial" w:cs="Arial" w:eastAsia="Arial" w:hAnsi="Arial"/>
          <w:i/>
          <w:iCs/>
          <w:color w:val="888888"/>
          <w:sz w:val="22"/>
          <w:szCs w:val="22"/>
        </w:rPr>
        <w:t xml:space="preserve">System Design  |  Distributed Architecture  |  Financial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Information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Course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System Design &amp; Architecture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Assignment Type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Case Study Analysis &amp; Solution Design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Submitted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Student / Team Name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Institute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UNEXT Learning Pvt Ltd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Date of Submission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2026</w:t>
            </w:r>
          </w:p>
        </w:tc>
      </w:tr>
    </w:tbl>
    <w:p>
      <w:pPr>
        <w:spacing w:before="80" w:after="80"/>
      </w:pPr>
      <w:r>
        <w:t xml:space="preserve"/>
      </w:r>
    </w:p>
    <w:p>
      <w:pPr>
        <w:spacing w:before="80" w:after="80"/>
      </w:pPr>
      <w:r>
        <w:t xml:space="preserve"/>
      </w:r>
    </w:p>
    <w:p>
      <w:pPr>
        <w:pageBreakBefore/>
        <w:jc w:val="center"/>
      </w:pPr>
    </w:p>
    <w:p>
      <w:pPr>
        <w:pStyle w:val="Heading1"/>
        <w:pBdr>
          <w:bottom w:val="single" w:color="2E75B6" w:sz="8" w:space="4"/>
        </w:pBdr>
        <w:spacing w:before="400" w:after="160"/>
      </w:pPr>
      <w:r>
        <w:rPr>
          <w:rFonts w:ascii="Arial" w:cs="Arial" w:eastAsia="Arial" w:hAnsi="Arial"/>
          <w:b/>
          <w:bCs/>
          <w:color w:val="1F3864"/>
          <w:sz w:val="32"/>
          <w:szCs w:val="32"/>
        </w:rPr>
        <w:t xml:space="preserve">Q1. Systems and Subsystems Required</w:t>
      </w:r>
    </w:p>
    <w:p>
      <w:pPr>
        <w:spacing w:before="80" w:after="100"/>
        <w:jc w:val="both"/>
      </w:pPr>
      <w:r>
        <w:rPr>
          <w:rFonts w:ascii="Arial" w:cs="Arial" w:eastAsia="Arial" w:hAnsi="Arial"/>
          <w:sz w:val="22"/>
          <w:szCs w:val="22"/>
        </w:rPr>
        <w:t xml:space="preserve">Building a national payments platform is not just an engineering problem; it is a sociotechnical challenge. The system needs to tie together regulatory obligations, financial institution protocols, consumer-facing interfaces, and real-time data pipelines all under a single reliable umbrella. Below is a structured breakdown of the major systems and their constituent subsystems.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1.1 Core Payment Processing Engine</w:t>
      </w:r>
    </w:p>
    <w:p>
      <w:pPr>
        <w:spacing w:before="80" w:after="100"/>
        <w:jc w:val="both"/>
      </w:pPr>
      <w:r>
        <w:rPr>
          <w:rFonts w:ascii="Arial" w:cs="Arial" w:eastAsia="Arial" w:hAnsi="Arial"/>
          <w:sz w:val="22"/>
          <w:szCs w:val="22"/>
        </w:rPr>
        <w:t xml:space="preserve">This is the heart of the platform and must be designed for extremely low latency. It handles every transaction from initiation to final debit/credit confirmation.</w:t>
      </w:r>
    </w:p>
    <w:p>
      <w:pPr>
        <w:pStyle w:val="ListParagraph"/>
        <w:numPr>
          <w:ilvl w:val="0"/>
          <w:numId w:val="2"/>
        </w:numPr>
        <w:spacing w:before="40" w:after="40"/>
      </w:pPr>
      <w:r>
        <w:rPr>
          <w:rFonts w:ascii="Arial" w:cs="Arial" w:eastAsia="Arial" w:hAnsi="Arial"/>
          <w:sz w:val="22"/>
          <w:szCs w:val="22"/>
        </w:rPr>
        <w:t xml:space="preserve">Transaction Orchestrator: Sequences the steps of each payment (validation, fraud check, debit, credit, notification) and handles retries and rollbacks in case of partial failures.</w:t>
      </w:r>
    </w:p>
    <w:p>
      <w:pPr>
        <w:pStyle w:val="ListParagraph"/>
        <w:numPr>
          <w:ilvl w:val="0"/>
          <w:numId w:val="2"/>
        </w:numPr>
        <w:spacing w:before="40" w:after="40"/>
      </w:pPr>
      <w:r>
        <w:rPr>
          <w:rFonts w:ascii="Arial" w:cs="Arial" w:eastAsia="Arial" w:hAnsi="Arial"/>
          <w:sz w:val="22"/>
          <w:szCs w:val="22"/>
        </w:rPr>
        <w:t xml:space="preserve">Payment Router: Determines which bank rails or settlement networks to use based on source and destination accounts.</w:t>
      </w:r>
    </w:p>
    <w:p>
      <w:pPr>
        <w:pStyle w:val="ListParagraph"/>
        <w:numPr>
          <w:ilvl w:val="0"/>
          <w:numId w:val="2"/>
        </w:numPr>
        <w:spacing w:before="40" w:after="40"/>
      </w:pPr>
      <w:r>
        <w:rPr>
          <w:rFonts w:ascii="Arial" w:cs="Arial" w:eastAsia="Arial" w:hAnsi="Arial"/>
          <w:sz w:val="22"/>
          <w:szCs w:val="22"/>
        </w:rPr>
        <w:t xml:space="preserve">Idempotency Manager: Ensures that duplicate requests due to retries or network issues do not result in double payments. Every transaction carries a unique idempotency key.</w:t>
      </w:r>
    </w:p>
    <w:p>
      <w:pPr>
        <w:pStyle w:val="ListParagraph"/>
        <w:numPr>
          <w:ilvl w:val="0"/>
          <w:numId w:val="2"/>
        </w:numPr>
        <w:spacing w:before="40" w:after="40"/>
      </w:pPr>
      <w:r>
        <w:rPr>
          <w:rFonts w:ascii="Arial" w:cs="Arial" w:eastAsia="Arial" w:hAnsi="Arial"/>
          <w:sz w:val="22"/>
          <w:szCs w:val="22"/>
        </w:rPr>
        <w:t xml:space="preserve">Transaction Ledger: An append-only log (similar to an event store) that records every state change of a transaction with timestamps.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1.2 User Management &amp; Identity Subsystem</w:t>
      </w:r>
    </w:p>
    <w:p>
      <w:pPr>
        <w:spacing w:before="80" w:after="100"/>
        <w:jc w:val="both"/>
      </w:pPr>
      <w:r>
        <w:rPr>
          <w:rFonts w:ascii="Arial" w:cs="Arial" w:eastAsia="Arial" w:hAnsi="Arial"/>
          <w:sz w:val="22"/>
          <w:szCs w:val="22"/>
        </w:rPr>
        <w:t xml:space="preserve">All user-related flows including onboarding, authentication, and account linkage are managed here.</w:t>
      </w:r>
    </w:p>
    <w:p>
      <w:pPr>
        <w:pStyle w:val="ListParagraph"/>
        <w:numPr>
          <w:ilvl w:val="0"/>
          <w:numId w:val="2"/>
        </w:numPr>
        <w:spacing w:before="40" w:after="40"/>
      </w:pPr>
      <w:r>
        <w:rPr>
          <w:rFonts w:ascii="Arial" w:cs="Arial" w:eastAsia="Arial" w:hAnsi="Arial"/>
          <w:sz w:val="22"/>
          <w:szCs w:val="22"/>
        </w:rPr>
        <w:t xml:space="preserve">KYC (Know Your Customer) Service: Integrates with national identity databases (Aadhaar-equivalent or passport/driving license systems) to verify citizen identity before account activation.</w:t>
      </w:r>
    </w:p>
    <w:p>
      <w:pPr>
        <w:pStyle w:val="ListParagraph"/>
        <w:numPr>
          <w:ilvl w:val="0"/>
          <w:numId w:val="2"/>
        </w:numPr>
        <w:spacing w:before="40" w:after="40"/>
      </w:pPr>
      <w:r>
        <w:rPr>
          <w:rFonts w:ascii="Arial" w:cs="Arial" w:eastAsia="Arial" w:hAnsi="Arial"/>
          <w:sz w:val="22"/>
          <w:szCs w:val="22"/>
        </w:rPr>
        <w:t xml:space="preserve">Authentication Service: Issues and validates JWT/OAuth2 tokens. Supports biometric login, device fingerprinting, and multi-factor authentication (MFA/OTP).</w:t>
      </w:r>
    </w:p>
    <w:p>
      <w:pPr>
        <w:pStyle w:val="ListParagraph"/>
        <w:numPr>
          <w:ilvl w:val="0"/>
          <w:numId w:val="2"/>
        </w:numPr>
        <w:spacing w:before="40" w:after="40"/>
      </w:pPr>
      <w:r>
        <w:rPr>
          <w:rFonts w:ascii="Arial" w:cs="Arial" w:eastAsia="Arial" w:hAnsi="Arial"/>
          <w:sz w:val="22"/>
          <w:szCs w:val="22"/>
        </w:rPr>
        <w:t xml:space="preserve">Account Linking Service: Securely links one or more bank accounts to a user profile and maintains the metadata around which account is primary.</w:t>
      </w:r>
    </w:p>
    <w:p>
      <w:pPr>
        <w:pStyle w:val="ListParagraph"/>
        <w:numPr>
          <w:ilvl w:val="0"/>
          <w:numId w:val="2"/>
        </w:numPr>
        <w:spacing w:before="40" w:after="40"/>
      </w:pPr>
      <w:r>
        <w:rPr>
          <w:rFonts w:ascii="Arial" w:cs="Arial" w:eastAsia="Arial" w:hAnsi="Arial"/>
          <w:sz w:val="22"/>
          <w:szCs w:val="22"/>
        </w:rPr>
        <w:t xml:space="preserve">User Profile Store: Holds preferences, linked instruments, device registrations, and communication preferences.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1.3 Merchant Services Subsystem</w:t>
      </w:r>
    </w:p>
    <w:p>
      <w:pPr>
        <w:pStyle w:val="ListParagraph"/>
        <w:numPr>
          <w:ilvl w:val="0"/>
          <w:numId w:val="2"/>
        </w:numPr>
        <w:spacing w:before="40" w:after="40"/>
      </w:pPr>
      <w:r>
        <w:rPr>
          <w:rFonts w:ascii="Arial" w:cs="Arial" w:eastAsia="Arial" w:hAnsi="Arial"/>
          <w:sz w:val="22"/>
          <w:szCs w:val="22"/>
        </w:rPr>
        <w:t xml:space="preserve">Merchant Onboarding &amp; Verification: Validates business registration, GST/Tax ID, and bank account ownership before merchant activation.</w:t>
      </w:r>
    </w:p>
    <w:p>
      <w:pPr>
        <w:pStyle w:val="ListParagraph"/>
        <w:numPr>
          <w:ilvl w:val="0"/>
          <w:numId w:val="2"/>
        </w:numPr>
        <w:spacing w:before="40" w:after="40"/>
      </w:pPr>
      <w:r>
        <w:rPr>
          <w:rFonts w:ascii="Arial" w:cs="Arial" w:eastAsia="Arial" w:hAnsi="Arial"/>
          <w:sz w:val="22"/>
          <w:szCs w:val="22"/>
        </w:rPr>
        <w:t xml:space="preserve">QR Code Generation Service: Creates both static (merchant-specific) and dynamic (amount-encoded) QR codes in real time.</w:t>
      </w:r>
    </w:p>
    <w:p>
      <w:pPr>
        <w:pStyle w:val="ListParagraph"/>
        <w:numPr>
          <w:ilvl w:val="0"/>
          <w:numId w:val="2"/>
        </w:numPr>
        <w:spacing w:before="40" w:after="40"/>
      </w:pPr>
      <w:r>
        <w:rPr>
          <w:rFonts w:ascii="Arial" w:cs="Arial" w:eastAsia="Arial" w:hAnsi="Arial"/>
          <w:sz w:val="22"/>
          <w:szCs w:val="22"/>
        </w:rPr>
        <w:t xml:space="preserve">Merchant Dashboard Service: Aggregates transaction data for daily settlement tracking, dispute management, and reporting.</w:t>
      </w:r>
    </w:p>
    <w:p>
      <w:pPr>
        <w:pStyle w:val="ListParagraph"/>
        <w:numPr>
          <w:ilvl w:val="0"/>
          <w:numId w:val="2"/>
        </w:numPr>
        <w:spacing w:before="40" w:after="40"/>
      </w:pPr>
      <w:r>
        <w:rPr>
          <w:rFonts w:ascii="Arial" w:cs="Arial" w:eastAsia="Arial" w:hAnsi="Arial"/>
          <w:sz w:val="22"/>
          <w:szCs w:val="22"/>
        </w:rPr>
        <w:t xml:space="preserve">Settlement Engine: Calculates net positions for merchants at end of day and triggers bank transfers.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1.4 Banking Integration Layer</w:t>
      </w:r>
    </w:p>
    <w:p>
      <w:pPr>
        <w:spacing w:before="80" w:after="100"/>
        <w:jc w:val="both"/>
      </w:pPr>
      <w:r>
        <w:rPr>
          <w:rFonts w:ascii="Arial" w:cs="Arial" w:eastAsia="Arial" w:hAnsi="Arial"/>
          <w:sz w:val="22"/>
          <w:szCs w:val="22"/>
        </w:rPr>
        <w:t xml:space="preserve">The platform must communicate with all major banks in the country. This layer abstracts bank-specific protocols.</w:t>
      </w:r>
    </w:p>
    <w:p>
      <w:pPr>
        <w:pStyle w:val="ListParagraph"/>
        <w:numPr>
          <w:ilvl w:val="0"/>
          <w:numId w:val="2"/>
        </w:numPr>
        <w:spacing w:before="40" w:after="40"/>
      </w:pPr>
      <w:r>
        <w:rPr>
          <w:rFonts w:ascii="Arial" w:cs="Arial" w:eastAsia="Arial" w:hAnsi="Arial"/>
          <w:sz w:val="22"/>
          <w:szCs w:val="22"/>
        </w:rPr>
        <w:t xml:space="preserve">Bank Adapter Service: Implements connectors for ISO 20022 messages, SFTP-based batch files, and REST APIs depending on bank capability.</w:t>
      </w:r>
    </w:p>
    <w:p>
      <w:pPr>
        <w:pStyle w:val="ListParagraph"/>
        <w:numPr>
          <w:ilvl w:val="0"/>
          <w:numId w:val="2"/>
        </w:numPr>
        <w:spacing w:before="40" w:after="40"/>
      </w:pPr>
      <w:r>
        <w:rPr>
          <w:rFonts w:ascii="Arial" w:cs="Arial" w:eastAsia="Arial" w:hAnsi="Arial"/>
          <w:sz w:val="22"/>
          <w:szCs w:val="22"/>
        </w:rPr>
        <w:t xml:space="preserve">Inter-bank Settlement Service: Manages net settlement positions and communicates with the national clearing house.</w:t>
      </w:r>
    </w:p>
    <w:p>
      <w:pPr>
        <w:pStyle w:val="ListParagraph"/>
        <w:numPr>
          <w:ilvl w:val="0"/>
          <w:numId w:val="2"/>
        </w:numPr>
        <w:spacing w:before="40" w:after="40"/>
      </w:pPr>
      <w:r>
        <w:rPr>
          <w:rFonts w:ascii="Arial" w:cs="Arial" w:eastAsia="Arial" w:hAnsi="Arial"/>
          <w:sz w:val="22"/>
          <w:szCs w:val="22"/>
        </w:rPr>
        <w:t xml:space="preserve">Account Verification Service: Validates account numbers before fund transfer using penny-drop or name-matching APIs.</w:t>
      </w:r>
    </w:p>
    <w:p>
      <w:pPr>
        <w:pStyle w:val="ListParagraph"/>
        <w:numPr>
          <w:ilvl w:val="0"/>
          <w:numId w:val="2"/>
        </w:numPr>
        <w:spacing w:before="40" w:after="40"/>
      </w:pPr>
      <w:r>
        <w:rPr>
          <w:rFonts w:ascii="Arial" w:cs="Arial" w:eastAsia="Arial" w:hAnsi="Arial"/>
          <w:sz w:val="22"/>
          <w:szCs w:val="22"/>
        </w:rPr>
        <w:t xml:space="preserve">Reconciliation Engine: Compares internal ledger records with bank-side statements and flags discrepancies automatically.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1.5 Fraud Detection &amp; Risk Subsystem</w:t>
      </w:r>
    </w:p>
    <w:p>
      <w:pPr>
        <w:pStyle w:val="ListParagraph"/>
        <w:numPr>
          <w:ilvl w:val="0"/>
          <w:numId w:val="2"/>
        </w:numPr>
        <w:spacing w:before="40" w:after="40"/>
      </w:pPr>
      <w:r>
        <w:rPr>
          <w:rFonts w:ascii="Arial" w:cs="Arial" w:eastAsia="Arial" w:hAnsi="Arial"/>
          <w:sz w:val="22"/>
          <w:szCs w:val="22"/>
        </w:rPr>
        <w:t xml:space="preserve">Real-Time Risk Scoring Engine: Uses rule-based checks and machine learning models to assign a fraud score to every transaction within milliseconds. Scores above threshold trigger soft decline or additional challenge.</w:t>
      </w:r>
    </w:p>
    <w:p>
      <w:pPr>
        <w:pStyle w:val="ListParagraph"/>
        <w:numPr>
          <w:ilvl w:val="0"/>
          <w:numId w:val="2"/>
        </w:numPr>
        <w:spacing w:before="40" w:after="40"/>
      </w:pPr>
      <w:r>
        <w:rPr>
          <w:rFonts w:ascii="Arial" w:cs="Arial" w:eastAsia="Arial" w:hAnsi="Arial"/>
          <w:sz w:val="22"/>
          <w:szCs w:val="22"/>
        </w:rPr>
        <w:t xml:space="preserve">Velocity Check Service: Monitors transaction frequency patterns across accounts.</w:t>
      </w:r>
    </w:p>
    <w:p>
      <w:pPr>
        <w:pStyle w:val="ListParagraph"/>
        <w:numPr>
          <w:ilvl w:val="0"/>
          <w:numId w:val="2"/>
        </w:numPr>
        <w:spacing w:before="40" w:after="40"/>
      </w:pPr>
      <w:r>
        <w:rPr>
          <w:rFonts w:ascii="Arial" w:cs="Arial" w:eastAsia="Arial" w:hAnsi="Arial"/>
          <w:sz w:val="22"/>
          <w:szCs w:val="22"/>
        </w:rPr>
        <w:t xml:space="preserve">Anomaly Detection Pipeline: Runs on streaming data to identify unusual patterns at a population level (e.g., sudden spike from a single merchant node).</w:t>
      </w:r>
    </w:p>
    <w:p>
      <w:pPr>
        <w:pStyle w:val="ListParagraph"/>
        <w:numPr>
          <w:ilvl w:val="0"/>
          <w:numId w:val="2"/>
        </w:numPr>
        <w:spacing w:before="40" w:after="40"/>
      </w:pPr>
      <w:r>
        <w:rPr>
          <w:rFonts w:ascii="Arial" w:cs="Arial" w:eastAsia="Arial" w:hAnsi="Arial"/>
          <w:sz w:val="22"/>
          <w:szCs w:val="22"/>
        </w:rPr>
        <w:t xml:space="preserve">Blacklist/Watchlist Service: Cross-checks parties against regulatory blacklists and PEP (Politically Exposed Persons) databases.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1.6 Notification &amp; Communication Subsystem</w:t>
      </w:r>
    </w:p>
    <w:p>
      <w:pPr>
        <w:pStyle w:val="ListParagraph"/>
        <w:numPr>
          <w:ilvl w:val="0"/>
          <w:numId w:val="2"/>
        </w:numPr>
        <w:spacing w:before="40" w:after="40"/>
      </w:pPr>
      <w:r>
        <w:rPr>
          <w:rFonts w:ascii="Arial" w:cs="Arial" w:eastAsia="Arial" w:hAnsi="Arial"/>
          <w:sz w:val="22"/>
          <w:szCs w:val="22"/>
        </w:rPr>
        <w:t xml:space="preserve">Real-Time Push Notification Service: Sends transaction confirmations to mobile apps using FCM/APNs.</w:t>
      </w:r>
    </w:p>
    <w:p>
      <w:pPr>
        <w:pStyle w:val="ListParagraph"/>
        <w:numPr>
          <w:ilvl w:val="0"/>
          <w:numId w:val="2"/>
        </w:numPr>
        <w:spacing w:before="40" w:after="40"/>
      </w:pPr>
      <w:r>
        <w:rPr>
          <w:rFonts w:ascii="Arial" w:cs="Arial" w:eastAsia="Arial" w:hAnsi="Arial"/>
          <w:sz w:val="22"/>
          <w:szCs w:val="22"/>
        </w:rPr>
        <w:t xml:space="preserve">SMS Gateway Integration: Delivers OTPs and transaction alerts to feature phones where push notifications are unavailable.</w:t>
      </w:r>
    </w:p>
    <w:p>
      <w:pPr>
        <w:pStyle w:val="ListParagraph"/>
        <w:numPr>
          <w:ilvl w:val="0"/>
          <w:numId w:val="2"/>
        </w:numPr>
        <w:spacing w:before="40" w:after="40"/>
      </w:pPr>
      <w:r>
        <w:rPr>
          <w:rFonts w:ascii="Arial" w:cs="Arial" w:eastAsia="Arial" w:hAnsi="Arial"/>
          <w:sz w:val="22"/>
          <w:szCs w:val="22"/>
        </w:rPr>
        <w:t xml:space="preserve">Email Notification Service: Sends receipts, settlement reports, and regulatory alerts.</w:t>
      </w:r>
    </w:p>
    <w:p>
      <w:pPr>
        <w:pStyle w:val="ListParagraph"/>
        <w:numPr>
          <w:ilvl w:val="0"/>
          <w:numId w:val="2"/>
        </w:numPr>
        <w:spacing w:before="40" w:after="40"/>
      </w:pPr>
      <w:r>
        <w:rPr>
          <w:rFonts w:ascii="Arial" w:cs="Arial" w:eastAsia="Arial" w:hAnsi="Arial"/>
          <w:sz w:val="22"/>
          <w:szCs w:val="22"/>
        </w:rPr>
        <w:t xml:space="preserve">In-App Message Store: Retains notification history within the app for users who were offline at the time.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1.7 Regulatory &amp; Compliance Subsystem</w:t>
      </w:r>
    </w:p>
    <w:p>
      <w:pPr>
        <w:pStyle w:val="ListParagraph"/>
        <w:numPr>
          <w:ilvl w:val="0"/>
          <w:numId w:val="2"/>
        </w:numPr>
        <w:spacing w:before="40" w:after="40"/>
      </w:pPr>
      <w:r>
        <w:rPr>
          <w:rFonts w:ascii="Arial" w:cs="Arial" w:eastAsia="Arial" w:hAnsi="Arial"/>
          <w:sz w:val="22"/>
          <w:szCs w:val="22"/>
        </w:rPr>
        <w:t xml:space="preserve">Audit Log Service: Immutable, tamper-proof log of all system and user actions, stored in a WORM (Write Once Read Many) storage layer.</w:t>
      </w:r>
    </w:p>
    <w:p>
      <w:pPr>
        <w:pStyle w:val="ListParagraph"/>
        <w:numPr>
          <w:ilvl w:val="0"/>
          <w:numId w:val="2"/>
        </w:numPr>
        <w:spacing w:before="40" w:after="40"/>
      </w:pPr>
      <w:r>
        <w:rPr>
          <w:rFonts w:ascii="Arial" w:cs="Arial" w:eastAsia="Arial" w:hAnsi="Arial"/>
          <w:sz w:val="22"/>
          <w:szCs w:val="22"/>
        </w:rPr>
        <w:t xml:space="preserve">Regulatory Reporting Engine: Generates structured reports (daily, weekly, monthly) as mandated by the central bank and financial intelligence unit.</w:t>
      </w:r>
    </w:p>
    <w:p>
      <w:pPr>
        <w:pStyle w:val="ListParagraph"/>
        <w:numPr>
          <w:ilvl w:val="0"/>
          <w:numId w:val="2"/>
        </w:numPr>
        <w:spacing w:before="40" w:after="40"/>
      </w:pPr>
      <w:r>
        <w:rPr>
          <w:rFonts w:ascii="Arial" w:cs="Arial" w:eastAsia="Arial" w:hAnsi="Arial"/>
          <w:sz w:val="22"/>
          <w:szCs w:val="22"/>
        </w:rPr>
        <w:t xml:space="preserve">Data Residency Controller: Ensures all data classified as sensitive stays within the country borders, with routing policies enforced at the API gateway layer.</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1.8 Infrastructure &amp; Platform Layer</w:t>
      </w:r>
    </w:p>
    <w:p>
      <w:pPr>
        <w:pStyle w:val="ListParagraph"/>
        <w:numPr>
          <w:ilvl w:val="0"/>
          <w:numId w:val="2"/>
        </w:numPr>
        <w:spacing w:before="40" w:after="40"/>
      </w:pPr>
      <w:r>
        <w:rPr>
          <w:rFonts w:ascii="Arial" w:cs="Arial" w:eastAsia="Arial" w:hAnsi="Arial"/>
          <w:sz w:val="22"/>
          <w:szCs w:val="22"/>
        </w:rPr>
        <w:t xml:space="preserve">API Gateway: Single entry point for all external requests; handles rate limiting, authentication, TLS termination, and request routing.</w:t>
      </w:r>
    </w:p>
    <w:p>
      <w:pPr>
        <w:pStyle w:val="ListParagraph"/>
        <w:numPr>
          <w:ilvl w:val="0"/>
          <w:numId w:val="2"/>
        </w:numPr>
        <w:spacing w:before="40" w:after="40"/>
      </w:pPr>
      <w:r>
        <w:rPr>
          <w:rFonts w:ascii="Arial" w:cs="Arial" w:eastAsia="Arial" w:hAnsi="Arial"/>
          <w:sz w:val="22"/>
          <w:szCs w:val="22"/>
        </w:rPr>
        <w:t xml:space="preserve">Event Streaming Platform (Kafka/Pulsar): Backbone for all async communication between services. All state changes emit events consumed by downstream systems.</w:t>
      </w:r>
    </w:p>
    <w:p>
      <w:pPr>
        <w:pStyle w:val="ListParagraph"/>
        <w:numPr>
          <w:ilvl w:val="0"/>
          <w:numId w:val="2"/>
        </w:numPr>
        <w:spacing w:before="40" w:after="40"/>
      </w:pPr>
      <w:r>
        <w:rPr>
          <w:rFonts w:ascii="Arial" w:cs="Arial" w:eastAsia="Arial" w:hAnsi="Arial"/>
          <w:sz w:val="22"/>
          <w:szCs w:val="22"/>
        </w:rPr>
        <w:t xml:space="preserve">Service Mesh (Istio/Linkerd): Provides mutual TLS between services, traffic management, and observability at the network level.</w:t>
      </w:r>
    </w:p>
    <w:p>
      <w:pPr>
        <w:pStyle w:val="ListParagraph"/>
        <w:numPr>
          <w:ilvl w:val="0"/>
          <w:numId w:val="2"/>
        </w:numPr>
        <w:spacing w:before="40" w:after="40"/>
      </w:pPr>
      <w:r>
        <w:rPr>
          <w:rFonts w:ascii="Arial" w:cs="Arial" w:eastAsia="Arial" w:hAnsi="Arial"/>
          <w:sz w:val="22"/>
          <w:szCs w:val="22"/>
        </w:rPr>
        <w:t xml:space="preserve">Observability Stack: Distributed tracing (Jaeger), centralized logging (ELK), and metrics (Prometheus + Grafana). Alerts fire in seconds when SLA thresholds are breached.</w:t>
      </w:r>
    </w:p>
    <w:p>
      <w:pPr>
        <w:pStyle w:val="ListParagraph"/>
        <w:numPr>
          <w:ilvl w:val="0"/>
          <w:numId w:val="2"/>
        </w:numPr>
        <w:spacing w:before="40" w:after="40"/>
      </w:pPr>
      <w:r>
        <w:rPr>
          <w:rFonts w:ascii="Arial" w:cs="Arial" w:eastAsia="Arial" w:hAnsi="Arial"/>
          <w:sz w:val="22"/>
          <w:szCs w:val="22"/>
        </w:rPr>
        <w:t xml:space="preserve">Cache Layer (Redis Cluster): Stores frequently accessed data like user sessions, fraud risk scores, and account metadata to reduce latency.</w:t>
      </w:r>
    </w:p>
    <w:p>
      <w:pPr>
        <w:spacing w:before="80" w:after="8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Q2. Information Exchange Between Systems</w:t>
      </w:r>
    </w:p>
    <w:p>
      <w:pPr>
        <w:spacing w:before="80" w:after="100"/>
        <w:jc w:val="both"/>
      </w:pPr>
      <w:r>
        <w:rPr>
          <w:rFonts w:ascii="Arial" w:cs="Arial" w:eastAsia="Arial" w:hAnsi="Arial"/>
          <w:sz w:val="22"/>
          <w:szCs w:val="22"/>
        </w:rPr>
        <w:t xml:space="preserve">The nature of data flowing between systems varies significantly. Some flows are synchronous and must complete within milliseconds; others are asynchronous and can tolerate seconds or minutes of lag. Understanding these distinctions is critical to making correct architectural decisions.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Flow</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 → Destination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Latency Requirement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Volume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Consistency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Transaction Initiation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Mobile App → API Gateway → Orchestrator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Sync REST/gRPC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500ms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50,000 TPS peak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Fraud Score Request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Orchestrator → Risk Engine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Sync gRPC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&lt; 100ms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Same as TPS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Strong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Debit Instruction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Orchestrator → Bank Adapter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Sync gRPC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1s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50,000 TPS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Transaction Event Emit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Orchestrator → Kafka</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Async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&lt; 50ms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At-least-once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Notification Trigger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Kafka → Notification Svc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Async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3s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At-least-once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Settlement Batch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Settlement Engine → Banks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Async Batch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EOD / T+0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Moderate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Eventual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Audit Log Write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All Services → Audit Svc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Async</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5s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Very 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At-least-once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Regulatory Report</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Reporting Engine → Regulator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Batch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Daily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Eventual</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KYC Verification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Onboarding Svc → KYC Provider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Sync REST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&lt; 5s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Cache Sync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DB → Redis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Async CDC</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&lt; 500ms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Medium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Eventual</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Key Exchange Patterns</w:t>
      </w:r>
    </w:p>
    <w:p>
      <w:pPr>
        <w:pStyle w:val="ListParagraph"/>
        <w:numPr>
          <w:ilvl w:val="0"/>
          <w:numId w:val="2"/>
        </w:numPr>
        <w:spacing w:before="40" w:after="40"/>
      </w:pPr>
      <w:r>
        <w:rPr>
          <w:rFonts w:ascii="Arial" w:cs="Arial" w:eastAsia="Arial" w:hAnsi="Arial"/>
          <w:sz w:val="22"/>
          <w:szCs w:val="22"/>
        </w:rPr>
        <w:t xml:space="preserve">Synchronous Request-Response (gRPC/REST): Used for all flows that are in the critical transaction path. Any timeout here results in a payment failure and must trigger a compensation flow.</w:t>
      </w:r>
    </w:p>
    <w:p>
      <w:pPr>
        <w:pStyle w:val="ListParagraph"/>
        <w:numPr>
          <w:ilvl w:val="0"/>
          <w:numId w:val="2"/>
        </w:numPr>
        <w:spacing w:before="40" w:after="40"/>
      </w:pPr>
      <w:r>
        <w:rPr>
          <w:rFonts w:ascii="Arial" w:cs="Arial" w:eastAsia="Arial" w:hAnsi="Arial"/>
          <w:sz w:val="22"/>
          <w:szCs w:val="22"/>
        </w:rPr>
        <w:t xml:space="preserve">Event Streaming (Kafka): Used for post-transaction flows like notifications, analytics, audit logging, and reconciliation. The event bus decouples producers from consumers and allows horizontal scale.</w:t>
      </w:r>
    </w:p>
    <w:p>
      <w:pPr>
        <w:pStyle w:val="ListParagraph"/>
        <w:numPr>
          <w:ilvl w:val="0"/>
          <w:numId w:val="2"/>
        </w:numPr>
        <w:spacing w:before="40" w:after="40"/>
      </w:pPr>
      <w:r>
        <w:rPr>
          <w:rFonts w:ascii="Arial" w:cs="Arial" w:eastAsia="Arial" w:hAnsi="Arial"/>
          <w:sz w:val="22"/>
          <w:szCs w:val="22"/>
        </w:rPr>
        <w:t xml:space="preserve">Batch File Transfer (SFTP/ISO 20022): Legacy banks that do not support real-time APIs receive end-of-day settlement files in formats they can process.</w:t>
      </w:r>
    </w:p>
    <w:p>
      <w:pPr>
        <w:pStyle w:val="ListParagraph"/>
        <w:numPr>
          <w:ilvl w:val="0"/>
          <w:numId w:val="2"/>
        </w:numPr>
        <w:spacing w:before="40" w:after="40"/>
      </w:pPr>
      <w:r>
        <w:rPr>
          <w:rFonts w:ascii="Arial" w:cs="Arial" w:eastAsia="Arial" w:hAnsi="Arial"/>
          <w:sz w:val="22"/>
          <w:szCs w:val="22"/>
        </w:rPr>
        <w:t xml:space="preserve">Change Data Capture (CDC): Debezium captures database changes and pushes them to Kafka topics, ensuring cache consistency without application-level dual writes.</w:t>
      </w:r>
    </w:p>
    <w:p>
      <w:pPr>
        <w:spacing w:before="80" w:after="8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Q3. Major Potential Failure Points</w:t>
      </w:r>
    </w:p>
    <w:p>
      <w:pPr>
        <w:pStyle w:val="Heading2"/>
        <w:spacing w:before="280" w:after="120"/>
      </w:pPr>
      <w:r>
        <w:rPr>
          <w:rFonts w:ascii="Arial" w:cs="Arial" w:eastAsia="Arial" w:hAnsi="Arial"/>
          <w:b/>
          <w:bCs/>
          <w:color w:val="2E75B6"/>
          <w:sz w:val="26"/>
          <w:szCs w:val="26"/>
        </w:rPr>
        <w:t xml:space="preserve">3.1 Technical Failures</w:t>
      </w:r>
    </w:p>
    <w:p>
      <w:pPr>
        <w:pStyle w:val="ListParagraph"/>
        <w:numPr>
          <w:ilvl w:val="0"/>
          <w:numId w:val="2"/>
        </w:numPr>
        <w:spacing w:before="40" w:after="40"/>
      </w:pPr>
      <w:r>
        <w:rPr>
          <w:rFonts w:ascii="Arial" w:cs="Arial" w:eastAsia="Arial" w:hAnsi="Arial"/>
          <w:sz w:val="22"/>
          <w:szCs w:val="22"/>
        </w:rPr>
        <w:t xml:space="preserve">Database Overload: At 50,000+ TPS, the transaction database becomes a bottleneck if not properly sharded. A slow query during peak load can cascade into a complete payment freeze.</w:t>
      </w:r>
    </w:p>
    <w:p>
      <w:pPr>
        <w:pStyle w:val="ListParagraph"/>
        <w:numPr>
          <w:ilvl w:val="0"/>
          <w:numId w:val="2"/>
        </w:numPr>
        <w:spacing w:before="40" w:after="40"/>
      </w:pPr>
      <w:r>
        <w:rPr>
          <w:rFonts w:ascii="Arial" w:cs="Arial" w:eastAsia="Arial" w:hAnsi="Arial"/>
          <w:sz w:val="22"/>
          <w:szCs w:val="22"/>
        </w:rPr>
        <w:t xml:space="preserve">Event Bus Saturation: If Kafka consumers fall behind producers, the lag grows and notifications/settlements are delayed, creating customer-facing failures even if the core payment succeeded.</w:t>
      </w:r>
    </w:p>
    <w:p>
      <w:pPr>
        <w:pStyle w:val="ListParagraph"/>
        <w:numPr>
          <w:ilvl w:val="0"/>
          <w:numId w:val="2"/>
        </w:numPr>
        <w:spacing w:before="40" w:after="40"/>
      </w:pPr>
      <w:r>
        <w:rPr>
          <w:rFonts w:ascii="Arial" w:cs="Arial" w:eastAsia="Arial" w:hAnsi="Arial"/>
          <w:sz w:val="22"/>
          <w:szCs w:val="22"/>
        </w:rPr>
        <w:t xml:space="preserve">Service Discovery Failure: If the service registry goes down, services cannot locate each other, effectively bringing the entire microservices mesh to a halt.</w:t>
      </w:r>
    </w:p>
    <w:p>
      <w:pPr>
        <w:pStyle w:val="ListParagraph"/>
        <w:numPr>
          <w:ilvl w:val="0"/>
          <w:numId w:val="2"/>
        </w:numPr>
        <w:spacing w:before="40" w:after="40"/>
      </w:pPr>
      <w:r>
        <w:rPr>
          <w:rFonts w:ascii="Arial" w:cs="Arial" w:eastAsia="Arial" w:hAnsi="Arial"/>
          <w:sz w:val="22"/>
          <w:szCs w:val="22"/>
        </w:rPr>
        <w:t xml:space="preserve">Memory/CPU Saturation: During 10x spike events, under-provisioned services hit resource limits, causing increased GC pauses, timeouts, and cascading failures.</w:t>
      </w:r>
    </w:p>
    <w:p>
      <w:pPr>
        <w:pStyle w:val="ListParagraph"/>
        <w:numPr>
          <w:ilvl w:val="0"/>
          <w:numId w:val="2"/>
        </w:numPr>
        <w:spacing w:before="40" w:after="40"/>
      </w:pPr>
      <w:r>
        <w:rPr>
          <w:rFonts w:ascii="Arial" w:cs="Arial" w:eastAsia="Arial" w:hAnsi="Arial"/>
          <w:sz w:val="22"/>
          <w:szCs w:val="22"/>
        </w:rPr>
        <w:t xml:space="preserve">Clock Skew: Distributed systems depend on time ordering. If NTP is not tightly managed, transaction sequencing and idempotency checks can fail silently.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3.2 Integration Failures</w:t>
      </w:r>
    </w:p>
    <w:p>
      <w:pPr>
        <w:pStyle w:val="ListParagraph"/>
        <w:numPr>
          <w:ilvl w:val="0"/>
          <w:numId w:val="2"/>
        </w:numPr>
        <w:spacing w:before="40" w:after="40"/>
      </w:pPr>
      <w:r>
        <w:rPr>
          <w:rFonts w:ascii="Arial" w:cs="Arial" w:eastAsia="Arial" w:hAnsi="Arial"/>
          <w:sz w:val="22"/>
          <w:szCs w:val="22"/>
        </w:rPr>
        <w:t xml:space="preserve">Bank API Downtime: If a partner bank's debit or credit API is down, transactions to/from that bank cannot be processed. The system must detect this and route appropriately or queue.</w:t>
      </w:r>
    </w:p>
    <w:p>
      <w:pPr>
        <w:pStyle w:val="ListParagraph"/>
        <w:numPr>
          <w:ilvl w:val="0"/>
          <w:numId w:val="2"/>
        </w:numPr>
        <w:spacing w:before="40" w:after="40"/>
      </w:pPr>
      <w:r>
        <w:rPr>
          <w:rFonts w:ascii="Arial" w:cs="Arial" w:eastAsia="Arial" w:hAnsi="Arial"/>
          <w:sz w:val="22"/>
          <w:szCs w:val="22"/>
        </w:rPr>
        <w:t xml:space="preserve">KYC Provider Unavailability: If the national identity verification service is down, new user onboarding is blocked entirely.</w:t>
      </w:r>
    </w:p>
    <w:p>
      <w:pPr>
        <w:pStyle w:val="ListParagraph"/>
        <w:numPr>
          <w:ilvl w:val="0"/>
          <w:numId w:val="2"/>
        </w:numPr>
        <w:spacing w:before="40" w:after="40"/>
      </w:pPr>
      <w:r>
        <w:rPr>
          <w:rFonts w:ascii="Arial" w:cs="Arial" w:eastAsia="Arial" w:hAnsi="Arial"/>
          <w:sz w:val="22"/>
          <w:szCs w:val="22"/>
        </w:rPr>
        <w:t xml:space="preserve">SMS Gateway Failures: OTP delivery failures block users from completing authentication, even if the payment infrastructure is healthy.</w:t>
      </w:r>
    </w:p>
    <w:p>
      <w:pPr>
        <w:pStyle w:val="ListParagraph"/>
        <w:numPr>
          <w:ilvl w:val="0"/>
          <w:numId w:val="2"/>
        </w:numPr>
        <w:spacing w:before="40" w:after="40"/>
      </w:pPr>
      <w:r>
        <w:rPr>
          <w:rFonts w:ascii="Arial" w:cs="Arial" w:eastAsia="Arial" w:hAnsi="Arial"/>
          <w:sz w:val="22"/>
          <w:szCs w:val="22"/>
        </w:rPr>
        <w:t xml:space="preserve">QR Code Merchant Desync: If the merchant POS system has a stale token or the QR generation service is unreachable, in-person payments fail at the point of sale.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3.3 External Dependency Failures</w:t>
      </w:r>
    </w:p>
    <w:p>
      <w:pPr>
        <w:pStyle w:val="ListParagraph"/>
        <w:numPr>
          <w:ilvl w:val="0"/>
          <w:numId w:val="2"/>
        </w:numPr>
        <w:spacing w:before="40" w:after="40"/>
      </w:pPr>
      <w:r>
        <w:rPr>
          <w:rFonts w:ascii="Arial" w:cs="Arial" w:eastAsia="Arial" w:hAnsi="Arial"/>
          <w:sz w:val="22"/>
          <w:szCs w:val="22"/>
        </w:rPr>
        <w:t xml:space="preserve">Clearing House Downtime: The national clearing house going down prevents inter-bank settlement, which does not block transactions (if credit is pre-authorized) but delays fund finality.</w:t>
      </w:r>
    </w:p>
    <w:p>
      <w:pPr>
        <w:pStyle w:val="ListParagraph"/>
        <w:numPr>
          <w:ilvl w:val="0"/>
          <w:numId w:val="2"/>
        </w:numPr>
        <w:spacing w:before="40" w:after="40"/>
      </w:pPr>
      <w:r>
        <w:rPr>
          <w:rFonts w:ascii="Arial" w:cs="Arial" w:eastAsia="Arial" w:hAnsi="Arial"/>
          <w:sz w:val="22"/>
          <w:szCs w:val="22"/>
        </w:rPr>
        <w:t xml:space="preserve">Cloud Provider Zone Failure: If the system runs on a single availability zone and that zone has an outage, the entire platform goes down.</w:t>
      </w:r>
    </w:p>
    <w:p>
      <w:pPr>
        <w:pStyle w:val="ListParagraph"/>
        <w:numPr>
          <w:ilvl w:val="0"/>
          <w:numId w:val="2"/>
        </w:numPr>
        <w:spacing w:before="40" w:after="40"/>
      </w:pPr>
      <w:r>
        <w:rPr>
          <w:rFonts w:ascii="Arial" w:cs="Arial" w:eastAsia="Arial" w:hAnsi="Arial"/>
          <w:sz w:val="22"/>
          <w:szCs w:val="22"/>
        </w:rPr>
        <w:t xml:space="preserve">CDN/DNS Failures: If the content delivery or domain resolution layer fails, users cannot reach the payment application at all.</w:t>
      </w:r>
    </w:p>
    <w:p>
      <w:pPr>
        <w:pStyle w:val="ListParagraph"/>
        <w:numPr>
          <w:ilvl w:val="0"/>
          <w:numId w:val="2"/>
        </w:numPr>
        <w:spacing w:before="40" w:after="40"/>
      </w:pPr>
      <w:r>
        <w:rPr>
          <w:rFonts w:ascii="Arial" w:cs="Arial" w:eastAsia="Arial" w:hAnsi="Arial"/>
          <w:sz w:val="22"/>
          <w:szCs w:val="22"/>
        </w:rPr>
        <w:t xml:space="preserve">Regulatory System Unavailability: Failure to push mandatory reports on time can trigger compliance violations and regulatory action.</w:t>
      </w:r>
    </w:p>
    <w:p>
      <w:pPr>
        <w:spacing w:before="80" w:after="8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Q4. Mitigation Strategies</w:t>
      </w:r>
    </w:p>
    <w:p>
      <w:pPr>
        <w:pStyle w:val="Heading2"/>
        <w:spacing w:before="280" w:after="120"/>
      </w:pPr>
      <w:r>
        <w:rPr>
          <w:rFonts w:ascii="Arial" w:cs="Arial" w:eastAsia="Arial" w:hAnsi="Arial"/>
          <w:b/>
          <w:bCs/>
          <w:color w:val="2E75B6"/>
          <w:sz w:val="26"/>
          <w:szCs w:val="26"/>
        </w:rPr>
        <w:t xml:space="preserve">4.1 Redundancy &amp; High Availability</w:t>
      </w:r>
    </w:p>
    <w:p>
      <w:pPr>
        <w:pStyle w:val="ListParagraph"/>
        <w:numPr>
          <w:ilvl w:val="0"/>
          <w:numId w:val="2"/>
        </w:numPr>
        <w:spacing w:before="40" w:after="40"/>
      </w:pPr>
      <w:r>
        <w:rPr>
          <w:rFonts w:ascii="Arial" w:cs="Arial" w:eastAsia="Arial" w:hAnsi="Arial"/>
          <w:sz w:val="22"/>
          <w:szCs w:val="22"/>
        </w:rPr>
        <w:t xml:space="preserve">Multi-AZ Deployment: All critical services are deployed across at least three availability zones within the same region. Active-active configuration ensures that losing any zone does not interrupt service.</w:t>
      </w:r>
    </w:p>
    <w:p>
      <w:pPr>
        <w:pStyle w:val="ListParagraph"/>
        <w:numPr>
          <w:ilvl w:val="0"/>
          <w:numId w:val="2"/>
        </w:numPr>
        <w:spacing w:before="40" w:after="40"/>
      </w:pPr>
      <w:r>
        <w:rPr>
          <w:rFonts w:ascii="Arial" w:cs="Arial" w:eastAsia="Arial" w:hAnsi="Arial"/>
          <w:sz w:val="22"/>
          <w:szCs w:val="22"/>
        </w:rPr>
        <w:t xml:space="preserve">Database Clustering: Use of distributed databases (CockroachDB, YugabyteDB, or Vitess over MySQL) with synchronous replication across zones. Read replicas offload query load from the primary.</w:t>
      </w:r>
    </w:p>
    <w:p>
      <w:pPr>
        <w:pStyle w:val="ListParagraph"/>
        <w:numPr>
          <w:ilvl w:val="0"/>
          <w:numId w:val="2"/>
        </w:numPr>
        <w:spacing w:before="40" w:after="40"/>
      </w:pPr>
      <w:r>
        <w:rPr>
          <w:rFonts w:ascii="Arial" w:cs="Arial" w:eastAsia="Arial" w:hAnsi="Arial"/>
          <w:sz w:val="22"/>
          <w:szCs w:val="22"/>
        </w:rPr>
        <w:t xml:space="preserve">Kafka Replication: Topic replication factor of at least 3 with min.insync.replicas=2 ensures message durability even with node failures.</w:t>
      </w:r>
    </w:p>
    <w:p>
      <w:pPr>
        <w:pStyle w:val="ListParagraph"/>
        <w:numPr>
          <w:ilvl w:val="0"/>
          <w:numId w:val="2"/>
        </w:numPr>
        <w:spacing w:before="40" w:after="40"/>
      </w:pPr>
      <w:r>
        <w:rPr>
          <w:rFonts w:ascii="Arial" w:cs="Arial" w:eastAsia="Arial" w:hAnsi="Arial"/>
          <w:sz w:val="22"/>
          <w:szCs w:val="22"/>
        </w:rPr>
        <w:t xml:space="preserve">Stateless Services: All payment microservices are designed stateless so any instance can serve any request. Sessions are stored in Redis, not in-process memory.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4.2 Resilience Patterns</w:t>
      </w:r>
    </w:p>
    <w:p>
      <w:pPr>
        <w:pStyle w:val="ListParagraph"/>
        <w:numPr>
          <w:ilvl w:val="0"/>
          <w:numId w:val="2"/>
        </w:numPr>
        <w:spacing w:before="40" w:after="40"/>
      </w:pPr>
      <w:r>
        <w:rPr>
          <w:rFonts w:ascii="Arial" w:cs="Arial" w:eastAsia="Arial" w:hAnsi="Arial"/>
          <w:sz w:val="22"/>
          <w:szCs w:val="22"/>
        </w:rPr>
        <w:t xml:space="preserve">Circuit Breakers (Hystrix/Resilience4j): Wrap all outbound calls to banks, KYC providers, and SMS gateways with circuit breakers. If error rate exceeds threshold, the breaker opens and the system fails fast rather than waiting for timeouts.</w:t>
      </w:r>
    </w:p>
    <w:p>
      <w:pPr>
        <w:pStyle w:val="ListParagraph"/>
        <w:numPr>
          <w:ilvl w:val="0"/>
          <w:numId w:val="2"/>
        </w:numPr>
        <w:spacing w:before="40" w:after="40"/>
      </w:pPr>
      <w:r>
        <w:rPr>
          <w:rFonts w:ascii="Arial" w:cs="Arial" w:eastAsia="Arial" w:hAnsi="Arial"/>
          <w:sz w:val="22"/>
          <w:szCs w:val="22"/>
        </w:rPr>
        <w:t xml:space="preserve">Retry with Exponential Backoff: Transient failures in bank API calls are retried with jitter to avoid thundering herd. Maximum retry count is bounded to prevent indefinite loops.</w:t>
      </w:r>
    </w:p>
    <w:p>
      <w:pPr>
        <w:pStyle w:val="ListParagraph"/>
        <w:numPr>
          <w:ilvl w:val="0"/>
          <w:numId w:val="2"/>
        </w:numPr>
        <w:spacing w:before="40" w:after="40"/>
      </w:pPr>
      <w:r>
        <w:rPr>
          <w:rFonts w:ascii="Arial" w:cs="Arial" w:eastAsia="Arial" w:hAnsi="Arial"/>
          <w:sz w:val="22"/>
          <w:szCs w:val="22"/>
        </w:rPr>
        <w:t xml:space="preserve">Bulkhead Pattern: Separate thread pools and connection pools for different bank integrations. One bank being slow does not exhaust resources meant for other banks.</w:t>
      </w:r>
    </w:p>
    <w:p>
      <w:pPr>
        <w:pStyle w:val="ListParagraph"/>
        <w:numPr>
          <w:ilvl w:val="0"/>
          <w:numId w:val="2"/>
        </w:numPr>
        <w:spacing w:before="40" w:after="40"/>
      </w:pPr>
      <w:r>
        <w:rPr>
          <w:rFonts w:ascii="Arial" w:cs="Arial" w:eastAsia="Arial" w:hAnsi="Arial"/>
          <w:sz w:val="22"/>
          <w:szCs w:val="22"/>
        </w:rPr>
        <w:t xml:space="preserve">Rate Limiting: API gateway enforces per-user and per-merchant rate limits to prevent abuse and protect backend services from being overwhelmed by a single source.</w:t>
      </w:r>
    </w:p>
    <w:p>
      <w:pPr>
        <w:pStyle w:val="ListParagraph"/>
        <w:numPr>
          <w:ilvl w:val="0"/>
          <w:numId w:val="2"/>
        </w:numPr>
        <w:spacing w:before="40" w:after="40"/>
      </w:pPr>
      <w:r>
        <w:rPr>
          <w:rFonts w:ascii="Arial" w:cs="Arial" w:eastAsia="Arial" w:hAnsi="Arial"/>
          <w:sz w:val="22"/>
          <w:szCs w:val="22"/>
        </w:rPr>
        <w:t xml:space="preserve">Idempotency Keys: Every payment request carries a client-generated idempotency key. If a retry arrives for an already-processed transaction, the cached result is returned rather than re-executing.</w:t>
      </w:r>
    </w:p>
    <w:p>
      <w:pPr>
        <w:pStyle w:val="ListParagraph"/>
        <w:numPr>
          <w:ilvl w:val="0"/>
          <w:numId w:val="2"/>
        </w:numPr>
        <w:spacing w:before="40" w:after="40"/>
      </w:pPr>
      <w:r>
        <w:rPr>
          <w:rFonts w:ascii="Arial" w:cs="Arial" w:eastAsia="Arial" w:hAnsi="Arial"/>
          <w:sz w:val="22"/>
          <w:szCs w:val="22"/>
        </w:rPr>
        <w:t xml:space="preserve">Saga Pattern for Distributed Transactions: Since a payment spans multiple services (debit, credit, notification), the Saga pattern ensures that each step has a compensating transaction. If credit fails after debit, a reversal is automatically triggered.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4.3 Fraud &amp; Security Mitigations</w:t>
      </w:r>
    </w:p>
    <w:p>
      <w:pPr>
        <w:pStyle w:val="ListParagraph"/>
        <w:numPr>
          <w:ilvl w:val="0"/>
          <w:numId w:val="2"/>
        </w:numPr>
        <w:spacing w:before="40" w:after="40"/>
      </w:pPr>
      <w:r>
        <w:rPr>
          <w:rFonts w:ascii="Arial" w:cs="Arial" w:eastAsia="Arial" w:hAnsi="Arial"/>
          <w:sz w:val="22"/>
          <w:szCs w:val="22"/>
        </w:rPr>
        <w:t xml:space="preserve">Async Fraud Check (Shadow Mode): The fraud scoring engine runs in parallel with the payment flow, not blocking it. Transactions with very high risk scores are flagged for review; borderline cases proceed and are monitored.</w:t>
      </w:r>
    </w:p>
    <w:p>
      <w:pPr>
        <w:pStyle w:val="ListParagraph"/>
        <w:numPr>
          <w:ilvl w:val="0"/>
          <w:numId w:val="2"/>
        </w:numPr>
        <w:spacing w:before="40" w:after="40"/>
      </w:pPr>
      <w:r>
        <w:rPr>
          <w:rFonts w:ascii="Arial" w:cs="Arial" w:eastAsia="Arial" w:hAnsi="Arial"/>
          <w:sz w:val="22"/>
          <w:szCs w:val="22"/>
        </w:rPr>
        <w:t xml:space="preserve">Device Binding &amp; Behavioral Analytics: Transactions from an unregistered device or unusual behavioral patterns trigger an additional OTP challenge.</w:t>
      </w:r>
    </w:p>
    <w:p>
      <w:pPr>
        <w:pStyle w:val="ListParagraph"/>
        <w:numPr>
          <w:ilvl w:val="0"/>
          <w:numId w:val="2"/>
        </w:numPr>
        <w:spacing w:before="40" w:after="40"/>
      </w:pPr>
      <w:r>
        <w:rPr>
          <w:rFonts w:ascii="Arial" w:cs="Arial" w:eastAsia="Arial" w:hAnsi="Arial"/>
          <w:sz w:val="22"/>
          <w:szCs w:val="22"/>
        </w:rPr>
        <w:t xml:space="preserve">Encryption Everywhere: TLS 1.3 in transit, AES-256 at rest. PAN data is tokenized; actual card or account numbers are never stored in application databases.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4.4 Performance Mitigations</w:t>
      </w:r>
    </w:p>
    <w:p>
      <w:pPr>
        <w:pStyle w:val="ListParagraph"/>
        <w:numPr>
          <w:ilvl w:val="0"/>
          <w:numId w:val="2"/>
        </w:numPr>
        <w:spacing w:before="40" w:after="40"/>
      </w:pPr>
      <w:r>
        <w:rPr>
          <w:rFonts w:ascii="Arial" w:cs="Arial" w:eastAsia="Arial" w:hAnsi="Arial"/>
          <w:sz w:val="22"/>
          <w:szCs w:val="22"/>
        </w:rPr>
        <w:t xml:space="preserve">Horizontal Auto-Scaling: Kubernetes HPA scales payment service pods based on CPU and custom metrics (TPS queue depth). Pre-scaling policies are triggered for known peak events.</w:t>
      </w:r>
    </w:p>
    <w:p>
      <w:pPr>
        <w:pStyle w:val="ListParagraph"/>
        <w:numPr>
          <w:ilvl w:val="0"/>
          <w:numId w:val="2"/>
        </w:numPr>
        <w:spacing w:before="40" w:after="40"/>
      </w:pPr>
      <w:r>
        <w:rPr>
          <w:rFonts w:ascii="Arial" w:cs="Arial" w:eastAsia="Arial" w:hAnsi="Arial"/>
          <w:sz w:val="22"/>
          <w:szCs w:val="22"/>
        </w:rPr>
        <w:t xml:space="preserve">Database Connection Pooling (PgBouncer/ProxySQL): Reduces connection overhead at the database layer, allowing high concurrency without exhausting DB connections.</w:t>
      </w:r>
    </w:p>
    <w:p>
      <w:pPr>
        <w:pStyle w:val="ListParagraph"/>
        <w:numPr>
          <w:ilvl w:val="0"/>
          <w:numId w:val="2"/>
        </w:numPr>
        <w:spacing w:before="40" w:after="40"/>
      </w:pPr>
      <w:r>
        <w:rPr>
          <w:rFonts w:ascii="Arial" w:cs="Arial" w:eastAsia="Arial" w:hAnsi="Arial"/>
          <w:sz w:val="22"/>
          <w:szCs w:val="22"/>
        </w:rPr>
        <w:t xml:space="preserve">Caching Strategy: User profile, bank account details, and fraud rules are cached in Redis with TTL-based invalidation. This reduces read pressure on primary databases significantly.</w:t>
      </w:r>
    </w:p>
    <w:p>
      <w:pPr>
        <w:spacing w:before="80" w:after="8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Q5. Contingency Plans When Failures Occur</w:t>
      </w:r>
    </w:p>
    <w:p>
      <w:pPr>
        <w:pStyle w:val="Heading2"/>
        <w:spacing w:before="280" w:after="120"/>
      </w:pPr>
      <w:r>
        <w:rPr>
          <w:rFonts w:ascii="Arial" w:cs="Arial" w:eastAsia="Arial" w:hAnsi="Arial"/>
          <w:b/>
          <w:bCs/>
          <w:color w:val="2E75B6"/>
          <w:sz w:val="26"/>
          <w:szCs w:val="26"/>
        </w:rPr>
        <w:t xml:space="preserve">5.1 Manual Reconciliation Procedures</w:t>
      </w:r>
    </w:p>
    <w:p>
      <w:pPr>
        <w:spacing w:before="80" w:after="100"/>
        <w:jc w:val="both"/>
      </w:pPr>
      <w:r>
        <w:rPr>
          <w:rFonts w:ascii="Arial" w:cs="Arial" w:eastAsia="Arial" w:hAnsi="Arial"/>
          <w:sz w:val="22"/>
          <w:szCs w:val="22"/>
        </w:rPr>
        <w:t xml:space="preserve">When automated reconciliation fails due to system issues or bank discrepancies, the operations team follows a structured manual process. Each transaction has a unique reference ID that links the internal ledger, bank statement line item, and the Kafka event log. Reconciliation analysts use a purpose-built admin console that compares these three sources side-by-side and flags mismatches.</w:t>
      </w:r>
    </w:p>
    <w:p>
      <w:pPr>
        <w:pStyle w:val="ListParagraph"/>
        <w:numPr>
          <w:ilvl w:val="0"/>
          <w:numId w:val="2"/>
        </w:numPr>
        <w:spacing w:before="40" w:after="40"/>
      </w:pPr>
      <w:r>
        <w:rPr>
          <w:rFonts w:ascii="Arial" w:cs="Arial" w:eastAsia="Arial" w:hAnsi="Arial"/>
          <w:sz w:val="22"/>
          <w:szCs w:val="22"/>
        </w:rPr>
        <w:t xml:space="preserve">Daily EOD reconciliation runs automatically. If it detects unmatched items, a ticket is auto-created with the transaction IDs and forwarded to the bank operations team.</w:t>
      </w:r>
    </w:p>
    <w:p>
      <w:pPr>
        <w:pStyle w:val="ListParagraph"/>
        <w:numPr>
          <w:ilvl w:val="0"/>
          <w:numId w:val="2"/>
        </w:numPr>
        <w:spacing w:before="40" w:after="40"/>
      </w:pPr>
      <w:r>
        <w:rPr>
          <w:rFonts w:ascii="Arial" w:cs="Arial" w:eastAsia="Arial" w:hAnsi="Arial"/>
          <w:sz w:val="22"/>
          <w:szCs w:val="22"/>
        </w:rPr>
        <w:t xml:space="preserve">For large-scale mismatches (e.g., during a bank API outage), batch export tools allow analysts to pull raw transaction data and compare against bank-provided SWIFT or NEFT reports.</w:t>
      </w:r>
    </w:p>
    <w:p>
      <w:pPr>
        <w:pStyle w:val="ListParagraph"/>
        <w:numPr>
          <w:ilvl w:val="0"/>
          <w:numId w:val="2"/>
        </w:numPr>
        <w:spacing w:before="40" w:after="40"/>
      </w:pPr>
      <w:r>
        <w:rPr>
          <w:rFonts w:ascii="Arial" w:cs="Arial" w:eastAsia="Arial" w:hAnsi="Arial"/>
          <w:sz w:val="22"/>
          <w:szCs w:val="22"/>
        </w:rPr>
        <w:t xml:space="preserve">All manual corrections are recorded in the audit log with the operator ID, timestamp, and justification before any ledger entry is modified.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5.2 Deferred Settlement Handling</w:t>
      </w:r>
    </w:p>
    <w:p>
      <w:pPr>
        <w:spacing w:before="80" w:after="100"/>
        <w:jc w:val="both"/>
      </w:pPr>
      <w:r>
        <w:rPr>
          <w:rFonts w:ascii="Arial" w:cs="Arial" w:eastAsia="Arial" w:hAnsi="Arial"/>
          <w:sz w:val="22"/>
          <w:szCs w:val="22"/>
        </w:rPr>
        <w:t xml:space="preserve">When the inter-bank settlement network or a partner bank is unavailable, the platform switches to a deferred settlement mode rather than rejecting transactions outright.</w:t>
      </w:r>
    </w:p>
    <w:p>
      <w:pPr>
        <w:pStyle w:val="ListParagraph"/>
        <w:numPr>
          <w:ilvl w:val="0"/>
          <w:numId w:val="2"/>
        </w:numPr>
        <w:spacing w:before="40" w:after="40"/>
      </w:pPr>
      <w:r>
        <w:rPr>
          <w:rFonts w:ascii="Arial" w:cs="Arial" w:eastAsia="Arial" w:hAnsi="Arial"/>
          <w:sz w:val="22"/>
          <w:szCs w:val="22"/>
        </w:rPr>
        <w:t xml:space="preserve">The payment is marked 'provisionally completed' in the user-facing interface. Funds are effectively reserved and will be cleared when connectivity is restored.</w:t>
      </w:r>
    </w:p>
    <w:p>
      <w:pPr>
        <w:pStyle w:val="ListParagraph"/>
        <w:numPr>
          <w:ilvl w:val="0"/>
          <w:numId w:val="2"/>
        </w:numPr>
        <w:spacing w:before="40" w:after="40"/>
      </w:pPr>
      <w:r>
        <w:rPr>
          <w:rFonts w:ascii="Arial" w:cs="Arial" w:eastAsia="Arial" w:hAnsi="Arial"/>
          <w:sz w:val="22"/>
          <w:szCs w:val="22"/>
        </w:rPr>
        <w:t xml:space="preserve">A settlement queue holds all pending inter-bank instructions. When the bank comes back online, the queue drains in order, with idempotency checks preventing double-settlement.</w:t>
      </w:r>
    </w:p>
    <w:p>
      <w:pPr>
        <w:pStyle w:val="ListParagraph"/>
        <w:numPr>
          <w:ilvl w:val="0"/>
          <w:numId w:val="2"/>
        </w:numPr>
        <w:spacing w:before="40" w:after="40"/>
      </w:pPr>
      <w:r>
        <w:rPr>
          <w:rFonts w:ascii="Arial" w:cs="Arial" w:eastAsia="Arial" w:hAnsi="Arial"/>
          <w:sz w:val="22"/>
          <w:szCs w:val="22"/>
        </w:rPr>
        <w:t xml:space="preserve">If a bank remains offline beyond 4 hours, the payment is automatically reversed and the user is notified with a clear explanation and any applicable refund timeline.</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5.3 User Communication Strategy</w:t>
      </w:r>
    </w:p>
    <w:p>
      <w:pPr>
        <w:spacing w:before="80" w:after="100"/>
        <w:jc w:val="both"/>
      </w:pPr>
      <w:r>
        <w:rPr>
          <w:rFonts w:ascii="Arial" w:cs="Arial" w:eastAsia="Arial" w:hAnsi="Arial"/>
          <w:sz w:val="22"/>
          <w:szCs w:val="22"/>
        </w:rPr>
        <w:t xml:space="preserve">Transparent and timely communication during outages prevents panic, reduces support call volume, and maintains trust.</w:t>
      </w:r>
    </w:p>
    <w:p>
      <w:pPr>
        <w:pStyle w:val="ListParagraph"/>
        <w:numPr>
          <w:ilvl w:val="0"/>
          <w:numId w:val="2"/>
        </w:numPr>
        <w:spacing w:before="40" w:after="40"/>
      </w:pPr>
      <w:r>
        <w:rPr>
          <w:rFonts w:ascii="Arial" w:cs="Arial" w:eastAsia="Arial" w:hAnsi="Arial"/>
          <w:sz w:val="22"/>
          <w:szCs w:val="22"/>
        </w:rPr>
        <w:t xml:space="preserve">In-App Status Page: A real-time service status indicator within the app clearly shows which services are degraded. Users see this before attempting a payment.</w:t>
      </w:r>
    </w:p>
    <w:p>
      <w:pPr>
        <w:pStyle w:val="ListParagraph"/>
        <w:numPr>
          <w:ilvl w:val="0"/>
          <w:numId w:val="2"/>
        </w:numPr>
        <w:spacing w:before="40" w:after="40"/>
      </w:pPr>
      <w:r>
        <w:rPr>
          <w:rFonts w:ascii="Arial" w:cs="Arial" w:eastAsia="Arial" w:hAnsi="Arial"/>
          <w:sz w:val="22"/>
          <w:szCs w:val="22"/>
        </w:rPr>
        <w:t xml:space="preserve">Push &amp; SMS Alerts: When a transaction enters a pending state due to a backend issue, the user immediately receives a notification explaining the situation and an estimated resolution time.</w:t>
      </w:r>
    </w:p>
    <w:p>
      <w:pPr>
        <w:pStyle w:val="ListParagraph"/>
        <w:numPr>
          <w:ilvl w:val="0"/>
          <w:numId w:val="2"/>
        </w:numPr>
        <w:spacing w:before="40" w:after="40"/>
      </w:pPr>
      <w:r>
        <w:rPr>
          <w:rFonts w:ascii="Arial" w:cs="Arial" w:eastAsia="Arial" w:hAnsi="Arial"/>
          <w:sz w:val="22"/>
          <w:szCs w:val="22"/>
        </w:rPr>
        <w:t xml:space="preserve">Proactive Merchant Alerts: Merchants subscribed to the webhook service receive immediate alerts if their settlement is delayed, allowing them to communicate with their own customers.</w:t>
      </w:r>
    </w:p>
    <w:p>
      <w:pPr>
        <w:pStyle w:val="ListParagraph"/>
        <w:numPr>
          <w:ilvl w:val="0"/>
          <w:numId w:val="2"/>
        </w:numPr>
        <w:spacing w:before="40" w:after="40"/>
      </w:pPr>
      <w:r>
        <w:rPr>
          <w:rFonts w:ascii="Arial" w:cs="Arial" w:eastAsia="Arial" w:hAnsi="Arial"/>
          <w:sz w:val="22"/>
          <w:szCs w:val="22"/>
        </w:rPr>
        <w:t xml:space="preserve">Post-Recovery Notification: Once the issue is resolved, affected users receive a summary of what happened, confirming whether their transaction succeeded or was reversed.</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5.4 Incident Response Playbooks</w:t>
      </w:r>
    </w:p>
    <w:p>
      <w:pPr>
        <w:pStyle w:val="ListParagraph"/>
        <w:numPr>
          <w:ilvl w:val="0"/>
          <w:numId w:val="2"/>
        </w:numPr>
        <w:spacing w:before="40" w:after="40"/>
      </w:pPr>
      <w:r>
        <w:rPr>
          <w:rFonts w:ascii="Arial" w:cs="Arial" w:eastAsia="Arial" w:hAnsi="Arial"/>
          <w:sz w:val="22"/>
          <w:szCs w:val="22"/>
        </w:rPr>
        <w:t xml:space="preserve">Severity 1 (Complete Outage): On-call engineering lead is paged within 60 seconds. Rollback procedures are executed within 10 minutes if a bad deployment is detected. Stakeholder bridge call is initiated within 15 minutes.</w:t>
      </w:r>
    </w:p>
    <w:p>
      <w:pPr>
        <w:pStyle w:val="ListParagraph"/>
        <w:numPr>
          <w:ilvl w:val="0"/>
          <w:numId w:val="2"/>
        </w:numPr>
        <w:spacing w:before="40" w:after="40"/>
      </w:pPr>
      <w:r>
        <w:rPr>
          <w:rFonts w:ascii="Arial" w:cs="Arial" w:eastAsia="Arial" w:hAnsi="Arial"/>
          <w:sz w:val="22"/>
          <w:szCs w:val="22"/>
        </w:rPr>
        <w:t xml:space="preserve">Severity 2 (Degraded Performance): Automated runbooks attempt self-healing (pod restarts, cache flush). Human escalation happens at the 5-minute mark if not resolved.</w:t>
      </w:r>
    </w:p>
    <w:p>
      <w:pPr>
        <w:pStyle w:val="ListParagraph"/>
        <w:numPr>
          <w:ilvl w:val="0"/>
          <w:numId w:val="2"/>
        </w:numPr>
        <w:spacing w:before="40" w:after="40"/>
      </w:pPr>
      <w:r>
        <w:rPr>
          <w:rFonts w:ascii="Arial" w:cs="Arial" w:eastAsia="Arial" w:hAnsi="Arial"/>
          <w:sz w:val="22"/>
          <w:szCs w:val="22"/>
        </w:rPr>
        <w:t xml:space="preserve">Severity 3 (Partial Failure): Handled via task queue without immediate escalation. SLA timers are tracked automatically.</w:t>
      </w:r>
    </w:p>
    <w:p>
      <w:pPr>
        <w:spacing w:before="80" w:after="8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Q6. System Behaviour Under Different Load Conditions</w:t>
      </w:r>
    </w:p>
    <w:p>
      <w:pPr>
        <w:pStyle w:val="Heading2"/>
        <w:spacing w:before="280" w:after="120"/>
      </w:pPr>
      <w:r>
        <w:rPr>
          <w:rFonts w:ascii="Arial" w:cs="Arial" w:eastAsia="Arial" w:hAnsi="Arial"/>
          <w:b/>
          <w:bCs/>
          <w:color w:val="2E75B6"/>
          <w:sz w:val="26"/>
          <w:szCs w:val="26"/>
        </w:rPr>
        <w:t xml:space="preserve">6.1 Normal Daily Load</w:t>
      </w:r>
    </w:p>
    <w:p>
      <w:pPr>
        <w:spacing w:before="80" w:after="100"/>
        <w:jc w:val="both"/>
      </w:pPr>
      <w:r>
        <w:rPr>
          <w:rFonts w:ascii="Arial" w:cs="Arial" w:eastAsia="Arial" w:hAnsi="Arial"/>
          <w:sz w:val="22"/>
          <w:szCs w:val="22"/>
        </w:rPr>
        <w:t xml:space="preserve">Under typical daily operation (average 20,000-30,000 TPS), the system runs in a relaxed mode where all features are fully enabled and no compromises are made.</w:t>
      </w:r>
    </w:p>
    <w:p>
      <w:pPr>
        <w:pStyle w:val="ListParagraph"/>
        <w:numPr>
          <w:ilvl w:val="0"/>
          <w:numId w:val="2"/>
        </w:numPr>
        <w:spacing w:before="40" w:after="40"/>
      </w:pPr>
      <w:r>
        <w:rPr>
          <w:rFonts w:ascii="Arial" w:cs="Arial" w:eastAsia="Arial" w:hAnsi="Arial"/>
          <w:sz w:val="22"/>
          <w:szCs w:val="22"/>
        </w:rPr>
        <w:t xml:space="preserve">Full fraud scoring with multi-model ensemble runs for every transaction. Both real-time rules and ML models execute synchronously.</w:t>
      </w:r>
    </w:p>
    <w:p>
      <w:pPr>
        <w:pStyle w:val="ListParagraph"/>
        <w:numPr>
          <w:ilvl w:val="0"/>
          <w:numId w:val="2"/>
        </w:numPr>
        <w:spacing w:before="40" w:after="40"/>
      </w:pPr>
      <w:r>
        <w:rPr>
          <w:rFonts w:ascii="Arial" w:cs="Arial" w:eastAsia="Arial" w:hAnsi="Arial"/>
          <w:sz w:val="22"/>
          <w:szCs w:val="22"/>
        </w:rPr>
        <w:t xml:space="preserve">All audit logs are written synchronously before transaction confirmation is sent to the user.</w:t>
      </w:r>
    </w:p>
    <w:p>
      <w:pPr>
        <w:pStyle w:val="ListParagraph"/>
        <w:numPr>
          <w:ilvl w:val="0"/>
          <w:numId w:val="2"/>
        </w:numPr>
        <w:spacing w:before="40" w:after="40"/>
      </w:pPr>
      <w:r>
        <w:rPr>
          <w:rFonts w:ascii="Arial" w:cs="Arial" w:eastAsia="Arial" w:hAnsi="Arial"/>
          <w:sz w:val="22"/>
          <w:szCs w:val="22"/>
        </w:rPr>
        <w:t xml:space="preserve">Reconciliation jobs run in the background using low-priority compute, not competing with transaction processing.</w:t>
      </w:r>
    </w:p>
    <w:p>
      <w:pPr>
        <w:pStyle w:val="ListParagraph"/>
        <w:numPr>
          <w:ilvl w:val="0"/>
          <w:numId w:val="2"/>
        </w:numPr>
        <w:spacing w:before="40" w:after="40"/>
      </w:pPr>
      <w:r>
        <w:rPr>
          <w:rFonts w:ascii="Arial" w:cs="Arial" w:eastAsia="Arial" w:hAnsi="Arial"/>
          <w:sz w:val="22"/>
          <w:szCs w:val="22"/>
        </w:rPr>
        <w:t xml:space="preserve">All bank integrations use real-time APIs where available.</w:t>
      </w:r>
    </w:p>
    <w:p>
      <w:pPr>
        <w:pStyle w:val="ListParagraph"/>
        <w:numPr>
          <w:ilvl w:val="0"/>
          <w:numId w:val="2"/>
        </w:numPr>
        <w:spacing w:before="40" w:after="40"/>
      </w:pPr>
      <w:r>
        <w:rPr>
          <w:rFonts w:ascii="Arial" w:cs="Arial" w:eastAsia="Arial" w:hAnsi="Arial"/>
          <w:sz w:val="22"/>
          <w:szCs w:val="22"/>
        </w:rPr>
        <w:t xml:space="preserve">Cache hit rates are maintained above 90% for profile and account data. TTL refreshes happen proactively.</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6.2 Peak National Events (10x Spike)</w:t>
      </w:r>
    </w:p>
    <w:p>
      <w:pPr>
        <w:spacing w:before="80" w:after="100"/>
        <w:jc w:val="both"/>
      </w:pPr>
      <w:r>
        <w:rPr>
          <w:rFonts w:ascii="Arial" w:cs="Arial" w:eastAsia="Arial" w:hAnsi="Arial"/>
          <w:sz w:val="22"/>
          <w:szCs w:val="22"/>
        </w:rPr>
        <w:t xml:space="preserve">During festivals, salary credit days, or tax filing deadlines, the system must handle up to 500,000 TPS bursts. The architecture shifts into a high-throughput mode with intentional trade-offs.</w:t>
      </w:r>
    </w:p>
    <w:p>
      <w:pPr>
        <w:pStyle w:val="ListParagraph"/>
        <w:numPr>
          <w:ilvl w:val="0"/>
          <w:numId w:val="2"/>
        </w:numPr>
        <w:spacing w:before="40" w:after="40"/>
      </w:pPr>
      <w:r>
        <w:rPr>
          <w:rFonts w:ascii="Arial" w:cs="Arial" w:eastAsia="Arial" w:hAnsi="Arial"/>
          <w:sz w:val="22"/>
          <w:szCs w:val="22"/>
        </w:rPr>
        <w:t xml:space="preserve">Pre-scaling: Based on a shared calendar of known peak events, Kubernetes schedules scale-out 30 minutes before expected peak. Extra pods for the payment orchestrator and bank adapters are pre-warmed.</w:t>
      </w:r>
    </w:p>
    <w:p>
      <w:pPr>
        <w:pStyle w:val="ListParagraph"/>
        <w:numPr>
          <w:ilvl w:val="0"/>
          <w:numId w:val="2"/>
        </w:numPr>
        <w:spacing w:before="40" w:after="40"/>
      </w:pPr>
      <w:r>
        <w:rPr>
          <w:rFonts w:ascii="Arial" w:cs="Arial" w:eastAsia="Arial" w:hAnsi="Arial"/>
          <w:sz w:val="22"/>
          <w:szCs w:val="22"/>
        </w:rPr>
        <w:t xml:space="preserve">Fraud Check Relaxation: Only rule-based checks (fast, deterministic) run for all transactions. The slower ML ensemble model runs only for high-value or cross-border transactions. This reduces fraud check latency from 80ms to under 20ms.</w:t>
      </w:r>
    </w:p>
    <w:p>
      <w:pPr>
        <w:pStyle w:val="ListParagraph"/>
        <w:numPr>
          <w:ilvl w:val="0"/>
          <w:numId w:val="2"/>
        </w:numPr>
        <w:spacing w:before="40" w:after="40"/>
      </w:pPr>
      <w:r>
        <w:rPr>
          <w:rFonts w:ascii="Arial" w:cs="Arial" w:eastAsia="Arial" w:hAnsi="Arial"/>
          <w:sz w:val="22"/>
          <w:szCs w:val="22"/>
        </w:rPr>
        <w:t xml:space="preserve">Read-heavy operations served from cache: Account balance checks, merchant validation, and user profile reads are served exclusively from the Redis cache layer. Database reads are suspended for these entities.</w:t>
      </w:r>
    </w:p>
    <w:p>
      <w:pPr>
        <w:pStyle w:val="ListParagraph"/>
        <w:numPr>
          <w:ilvl w:val="0"/>
          <w:numId w:val="2"/>
        </w:numPr>
        <w:spacing w:before="40" w:after="40"/>
      </w:pPr>
      <w:r>
        <w:rPr>
          <w:rFonts w:ascii="Arial" w:cs="Arial" w:eastAsia="Arial" w:hAnsi="Arial"/>
          <w:sz w:val="22"/>
          <w:szCs w:val="22"/>
        </w:rPr>
        <w:t xml:space="preserve">Queue-based buffering: Instead of directly calling bank APIs (which have their own rate limits), debit instructions are placed in a bounded Kafka queue and processed at the bank's maximum acceptable rate, with backpressure signals propagated up.</w:t>
      </w:r>
    </w:p>
    <w:p>
      <w:pPr>
        <w:pStyle w:val="ListParagraph"/>
        <w:numPr>
          <w:ilvl w:val="0"/>
          <w:numId w:val="2"/>
        </w:numPr>
        <w:spacing w:before="40" w:after="40"/>
      </w:pPr>
      <w:r>
        <w:rPr>
          <w:rFonts w:ascii="Arial" w:cs="Arial" w:eastAsia="Arial" w:hAnsi="Arial"/>
          <w:sz w:val="22"/>
          <w:szCs w:val="22"/>
        </w:rPr>
        <w:t xml:space="preserve">Graceful degradation of non-critical features: Real-time analytics dashboards, report generation, and promotional notifications are paused. Compute freed up is reallocated to transaction processing.</w:t>
      </w:r>
    </w:p>
    <w:p>
      <w:pPr>
        <w:pStyle w:val="ListParagraph"/>
        <w:numPr>
          <w:ilvl w:val="0"/>
          <w:numId w:val="2"/>
        </w:numPr>
        <w:spacing w:before="40" w:after="40"/>
      </w:pPr>
      <w:r>
        <w:rPr>
          <w:rFonts w:ascii="Arial" w:cs="Arial" w:eastAsia="Arial" w:hAnsi="Arial"/>
          <w:sz w:val="22"/>
          <w:szCs w:val="22"/>
        </w:rPr>
        <w:t xml:space="preserve">Circuit breakers set to more aggressive thresholds: Connections to slower banks are circuit-broken faster during peak to prevent cascading timeouts across the cluster.</w:t>
      </w:r>
    </w:p>
    <w:p>
      <w:pPr>
        <w:spacing w:before="80" w:after="8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Q7. Architectural Trade-offs</w:t>
      </w:r>
    </w:p>
    <w:p>
      <w:pPr>
        <w:pStyle w:val="Heading2"/>
        <w:spacing w:before="280" w:after="120"/>
      </w:pPr>
      <w:r>
        <w:rPr>
          <w:rFonts w:ascii="Arial" w:cs="Arial" w:eastAsia="Arial" w:hAnsi="Arial"/>
          <w:b/>
          <w:bCs/>
          <w:color w:val="2E75B6"/>
          <w:sz w:val="26"/>
          <w:szCs w:val="26"/>
        </w:rPr>
        <w:t xml:space="preserve">7.1 Consistency vs. Availability (CAP Trade-off)</w:t>
      </w:r>
    </w:p>
    <w:p>
      <w:pPr>
        <w:spacing w:before="80" w:after="100"/>
        <w:jc w:val="both"/>
      </w:pPr>
      <w:r>
        <w:rPr>
          <w:rFonts w:ascii="Arial" w:cs="Arial" w:eastAsia="Arial" w:hAnsi="Arial"/>
          <w:sz w:val="22"/>
          <w:szCs w:val="22"/>
        </w:rPr>
        <w:t xml:space="preserve">In a payments system, the general instinct is to always choose consistency. However, a more nuanced approach based on the criticality of each operation yields better overall outcomes.</w:t>
      </w:r>
    </w:p>
    <w:p>
      <w:pPr>
        <w:pStyle w:val="ListParagraph"/>
        <w:numPr>
          <w:ilvl w:val="0"/>
          <w:numId w:val="2"/>
        </w:numPr>
        <w:spacing w:before="40" w:after="40"/>
      </w:pPr>
      <w:r>
        <w:rPr>
          <w:rFonts w:ascii="Arial" w:cs="Arial" w:eastAsia="Arial" w:hAnsi="Arial"/>
          <w:sz w:val="22"/>
          <w:szCs w:val="22"/>
        </w:rPr>
        <w:t xml:space="preserve">Debit operations demand strong consistency: We cannot allow a user's account to be debited twice. For debit instructions, we use synchronous writes to the primary database with a two-phase acknowledgment before confirming the transaction.</w:t>
      </w:r>
    </w:p>
    <w:p>
      <w:pPr>
        <w:pStyle w:val="ListParagraph"/>
        <w:numPr>
          <w:ilvl w:val="0"/>
          <w:numId w:val="2"/>
        </w:numPr>
        <w:spacing w:before="40" w:after="40"/>
      </w:pPr>
      <w:r>
        <w:rPr>
          <w:rFonts w:ascii="Arial" w:cs="Arial" w:eastAsia="Arial" w:hAnsi="Arial"/>
          <w:sz w:val="22"/>
          <w:szCs w:val="22"/>
        </w:rPr>
        <w:t xml:space="preserve">Credit operations tolerate short-term eventual consistency: If the credit side fails after debit, the saga compensates. Notification delivery, report generation, and analytics can all tolerate seconds or even minutes of delay without affecting the transaction outcome.</w:t>
      </w:r>
    </w:p>
    <w:p>
      <w:pPr>
        <w:pStyle w:val="ListParagraph"/>
        <w:numPr>
          <w:ilvl w:val="0"/>
          <w:numId w:val="2"/>
        </w:numPr>
        <w:spacing w:before="40" w:after="40"/>
      </w:pPr>
      <w:r>
        <w:rPr>
          <w:rFonts w:ascii="Arial" w:cs="Arial" w:eastAsia="Arial" w:hAnsi="Arial"/>
          <w:sz w:val="22"/>
          <w:szCs w:val="22"/>
        </w:rPr>
        <w:t xml:space="preserve">During a network partition, the system favors availability for read operations (show last known balance) but blocks write operations (halt new payments from that partition) until the partition heals. This prevents split-brain double-spending.</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7.2 Cost vs. Reliability</w:t>
      </w:r>
    </w:p>
    <w:p>
      <w:pPr>
        <w:pStyle w:val="ListParagraph"/>
        <w:numPr>
          <w:ilvl w:val="0"/>
          <w:numId w:val="2"/>
        </w:numPr>
        <w:spacing w:before="40" w:after="40"/>
      </w:pPr>
      <w:r>
        <w:rPr>
          <w:rFonts w:ascii="Arial" w:cs="Arial" w:eastAsia="Arial" w:hAnsi="Arial"/>
          <w:sz w:val="22"/>
          <w:szCs w:val="22"/>
        </w:rPr>
        <w:t xml:space="preserve">Idle peak capacity is expensive. The system uses spot/preemptible instances for non-critical background workloads (analytics, report generation) to reduce costs by up to 70%, while critical transaction processing runs on reserved instances with guaranteed capacity.</w:t>
      </w:r>
    </w:p>
    <w:p>
      <w:pPr>
        <w:pStyle w:val="ListParagraph"/>
        <w:numPr>
          <w:ilvl w:val="0"/>
          <w:numId w:val="2"/>
        </w:numPr>
        <w:spacing w:before="40" w:after="40"/>
      </w:pPr>
      <w:r>
        <w:rPr>
          <w:rFonts w:ascii="Arial" w:cs="Arial" w:eastAsia="Arial" w:hAnsi="Arial"/>
          <w:sz w:val="22"/>
          <w:szCs w:val="22"/>
        </w:rPr>
        <w:t xml:space="preserve">Multi-region active-active setup dramatically improves reliability but doubles infrastructure cost. For the initial national launch, an active-active multi-AZ within one region with a warm standby in a second region is the pragmatic choice, revisited when international expansion begins.</w:t>
      </w:r>
    </w:p>
    <w:p>
      <w:pPr>
        <w:pStyle w:val="ListParagraph"/>
        <w:numPr>
          <w:ilvl w:val="0"/>
          <w:numId w:val="2"/>
        </w:numPr>
        <w:spacing w:before="40" w:after="40"/>
      </w:pPr>
      <w:r>
        <w:rPr>
          <w:rFonts w:ascii="Arial" w:cs="Arial" w:eastAsia="Arial" w:hAnsi="Arial"/>
          <w:sz w:val="22"/>
          <w:szCs w:val="22"/>
        </w:rPr>
        <w:t xml:space="preserve">Managed services (Kafka as a service, managed Kubernetes, cloud-native databases) cost more than self-hosted but eliminate operational overhead and improve reliability through built-in SLAs.</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7.3 Real-time vs. Eventual Processing</w:t>
      </w:r>
    </w:p>
    <w:p>
      <w:pPr>
        <w:pStyle w:val="ListParagraph"/>
        <w:numPr>
          <w:ilvl w:val="0"/>
          <w:numId w:val="2"/>
        </w:numPr>
        <w:spacing w:before="40" w:after="40"/>
      </w:pPr>
      <w:r>
        <w:rPr>
          <w:rFonts w:ascii="Arial" w:cs="Arial" w:eastAsia="Arial" w:hAnsi="Arial"/>
          <w:sz w:val="22"/>
          <w:szCs w:val="22"/>
        </w:rPr>
        <w:t xml:space="preserve">The transaction confirmation to the end user is real-time: the user must know within 2 seconds whether their payment succeeded. Everything else can be eventual.</w:t>
      </w:r>
    </w:p>
    <w:p>
      <w:pPr>
        <w:pStyle w:val="ListParagraph"/>
        <w:numPr>
          <w:ilvl w:val="0"/>
          <w:numId w:val="2"/>
        </w:numPr>
        <w:spacing w:before="40" w:after="40"/>
      </w:pPr>
      <w:r>
        <w:rPr>
          <w:rFonts w:ascii="Arial" w:cs="Arial" w:eastAsia="Arial" w:hAnsi="Arial"/>
          <w:sz w:val="22"/>
          <w:szCs w:val="22"/>
        </w:rPr>
        <w:t xml:space="preserve">Settlement, reconciliation, audit log aggregation, and regulatory reporting are all eventual. They do not affect the user experience but have their own SLA windows (EOD for settlement, 24h for audit consolidation).</w:t>
      </w:r>
    </w:p>
    <w:p>
      <w:pPr>
        <w:pStyle w:val="ListParagraph"/>
        <w:numPr>
          <w:ilvl w:val="0"/>
          <w:numId w:val="2"/>
        </w:numPr>
        <w:spacing w:before="40" w:after="40"/>
      </w:pPr>
      <w:r>
        <w:rPr>
          <w:rFonts w:ascii="Arial" w:cs="Arial" w:eastAsia="Arial" w:hAnsi="Arial"/>
          <w:sz w:val="22"/>
          <w:szCs w:val="22"/>
        </w:rPr>
        <w:t xml:space="preserve">Merchant balance updates are near-real-time (within 30 seconds) using event-driven updates from the transaction stream, but are not part of the critical payment path.</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7.4 Security Depth vs. User Experience</w:t>
      </w:r>
    </w:p>
    <w:p>
      <w:pPr>
        <w:pStyle w:val="ListParagraph"/>
        <w:numPr>
          <w:ilvl w:val="0"/>
          <w:numId w:val="2"/>
        </w:numPr>
        <w:spacing w:before="40" w:after="40"/>
      </w:pPr>
      <w:r>
        <w:rPr>
          <w:rFonts w:ascii="Arial" w:cs="Arial" w:eastAsia="Arial" w:hAnsi="Arial"/>
          <w:sz w:val="22"/>
          <w:szCs w:val="22"/>
        </w:rPr>
        <w:t xml:space="preserve">Full biometric + OTP verification for every transaction would be maximally secure but would make the product unusable. The system implements tiered security based on transaction risk.</w:t>
      </w:r>
    </w:p>
    <w:p>
      <w:pPr>
        <w:pStyle w:val="ListParagraph"/>
        <w:numPr>
          <w:ilvl w:val="0"/>
          <w:numId w:val="2"/>
        </w:numPr>
        <w:spacing w:before="40" w:after="40"/>
      </w:pPr>
      <w:r>
        <w:rPr>
          <w:rFonts w:ascii="Arial" w:cs="Arial" w:eastAsia="Arial" w:hAnsi="Arial"/>
          <w:sz w:val="22"/>
          <w:szCs w:val="22"/>
        </w:rPr>
        <w:t xml:space="preserve">Transactions under a low-value threshold from a trusted device complete with just biometric authentication or UPI PIN. No OTP required.</w:t>
      </w:r>
    </w:p>
    <w:p>
      <w:pPr>
        <w:pStyle w:val="ListParagraph"/>
        <w:numPr>
          <w:ilvl w:val="0"/>
          <w:numId w:val="2"/>
        </w:numPr>
        <w:spacing w:before="40" w:after="40"/>
      </w:pPr>
      <w:r>
        <w:rPr>
          <w:rFonts w:ascii="Arial" w:cs="Arial" w:eastAsia="Arial" w:hAnsi="Arial"/>
          <w:sz w:val="22"/>
          <w:szCs w:val="22"/>
        </w:rPr>
        <w:t xml:space="preserve">High-value transactions, new beneficiaries, or transactions from unrecognized devices require OTP in addition to biometric.</w:t>
      </w:r>
    </w:p>
    <w:p>
      <w:pPr>
        <w:pStyle w:val="ListParagraph"/>
        <w:numPr>
          <w:ilvl w:val="0"/>
          <w:numId w:val="2"/>
        </w:numPr>
        <w:spacing w:before="40" w:after="40"/>
      </w:pPr>
      <w:r>
        <w:rPr>
          <w:rFonts w:ascii="Arial" w:cs="Arial" w:eastAsia="Arial" w:hAnsi="Arial"/>
          <w:sz w:val="22"/>
          <w:szCs w:val="22"/>
        </w:rPr>
        <w:t xml:space="preserve">International or very high-value transactions may trigger a call-back verification step.</w:t>
      </w:r>
    </w:p>
    <w:p>
      <w:pPr>
        <w:pStyle w:val="ListParagraph"/>
        <w:numPr>
          <w:ilvl w:val="0"/>
          <w:numId w:val="2"/>
        </w:numPr>
        <w:spacing w:before="40" w:after="40"/>
      </w:pPr>
      <w:r>
        <w:rPr>
          <w:rFonts w:ascii="Arial" w:cs="Arial" w:eastAsia="Arial" w:hAnsi="Arial"/>
          <w:sz w:val="22"/>
          <w:szCs w:val="22"/>
        </w:rPr>
        <w:t xml:space="preserve">PCI DSS scope is minimized by tokenizing all sensitive data at the entry point, reducing the surface area that needs to be hardened to PCI standards.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Trade-off Dimension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Choice Made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is Sacrificed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Consistency vs. Availability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Strong consistency for debits; eventual for rest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Prevent double-spend on critical 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Slight latency increase on debit operations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Cost vs. Reliability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Multi-AZ active-active + warm standby</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Balanced cost without single-region risk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True zero-RPO multi-region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Real-time vs. Eventual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Real-time for user confirmation only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Keep user experience fast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Instant merchant ledger updates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Security vs. UX</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Risk-based tiered authentication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UX for low-risk, hardened for high-risk</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Uniform security posture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Managed vs. Self-hosted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Managed services for infra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Reliability, reduced ops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Slightly higher licensing fees</w:t>
            </w:r>
          </w:p>
        </w:tc>
      </w:tr>
    </w:tbl>
    <w:p>
      <w:pPr>
        <w:spacing w:before="80" w:after="80"/>
      </w:pPr>
      <w:r>
        <w:t xml:space="preserve"/>
      </w:r>
    </w:p>
    <w:p>
      <w:pPr>
        <w:pStyle w:val="Heading1"/>
        <w:pBdr>
          <w:bottom w:val="single" w:color="2E75B6" w:sz="8" w:space="4"/>
        </w:pBdr>
        <w:spacing w:before="400" w:after="160"/>
      </w:pPr>
      <w:r>
        <w:rPr>
          <w:rFonts w:ascii="Arial" w:cs="Arial" w:eastAsia="Arial" w:hAnsi="Arial"/>
          <w:b/>
          <w:bCs/>
          <w:color w:val="1F3864"/>
          <w:sz w:val="32"/>
          <w:szCs w:val="32"/>
        </w:rPr>
        <w:t xml:space="preserve">Q8. Global Implementations – USPs &amp; Recommended Additions</w:t>
      </w:r>
    </w:p>
    <w:p>
      <w:pPr>
        <w:pStyle w:val="Heading2"/>
        <w:spacing w:before="280" w:after="120"/>
      </w:pPr>
      <w:r>
        <w:rPr>
          <w:rFonts w:ascii="Arial" w:cs="Arial" w:eastAsia="Arial" w:hAnsi="Arial"/>
          <w:b/>
          <w:bCs/>
          <w:color w:val="2E75B6"/>
          <w:sz w:val="26"/>
          <w:szCs w:val="26"/>
        </w:rPr>
        <w:t xml:space="preserve">8.1 Global Reference Systems</w:t>
      </w:r>
    </w:p>
    <w:p>
      <w:pPr>
        <w:spacing w:before="80" w:after="100"/>
        <w:jc w:val="both"/>
      </w:pPr>
      <w:r>
        <w:rPr>
          <w:rFonts w:ascii="Arial" w:cs="Arial" w:eastAsia="Arial" w:hAnsi="Arial"/>
          <w:sz w:val="22"/>
          <w:szCs w:val="22"/>
        </w:rPr>
        <w:t xml:space="preserve">Several countries have successfully launched national real-time payments systems. Each offers lessons for our design.</w:t>
      </w:r>
    </w:p>
    <w:p>
      <w:pPr>
        <w:pStyle w:val="ListParagraph"/>
        <w:numPr>
          <w:ilvl w:val="0"/>
          <w:numId w:val="2"/>
        </w:numPr>
        <w:spacing w:before="40" w:after="40"/>
      </w:pPr>
      <w:r>
        <w:rPr>
          <w:rFonts w:ascii="Arial" w:cs="Arial" w:eastAsia="Arial" w:hAnsi="Arial"/>
          <w:sz w:val="22"/>
          <w:szCs w:val="22"/>
        </w:rPr>
        <w:t xml:space="preserve">UPI (India): Processed 13 billion transactions in a single month (January 2024). Key differentiators include the abstraction of bank accounts behind VPAs (Virtual Payment Addresses), interoperability between all banks from day one, and open-API third-party app support. Fraud rates are managed through a two-factor authentication mandate.</w:t>
      </w:r>
    </w:p>
    <w:p>
      <w:pPr>
        <w:pStyle w:val="ListParagraph"/>
        <w:numPr>
          <w:ilvl w:val="0"/>
          <w:numId w:val="2"/>
        </w:numPr>
        <w:spacing w:before="40" w:after="40"/>
      </w:pPr>
      <w:r>
        <w:rPr>
          <w:rFonts w:ascii="Arial" w:cs="Arial" w:eastAsia="Arial" w:hAnsi="Arial"/>
          <w:sz w:val="22"/>
          <w:szCs w:val="22"/>
        </w:rPr>
        <w:t xml:space="preserve">PIX (Brazil): Launched in November 2020 and reached 750+ million registered keys within 18 months. Key innovation was the DICT key directory (phone number, email, tax ID as payment aliases) that eliminated the need for bank account numbers. Available 24x7x365 with flat-fee pricing that democratized payments for small businesses.</w:t>
      </w:r>
    </w:p>
    <w:p>
      <w:pPr>
        <w:pStyle w:val="ListParagraph"/>
        <w:numPr>
          <w:ilvl w:val="0"/>
          <w:numId w:val="2"/>
        </w:numPr>
        <w:spacing w:before="40" w:after="40"/>
      </w:pPr>
      <w:r>
        <w:rPr>
          <w:rFonts w:ascii="Arial" w:cs="Arial" w:eastAsia="Arial" w:hAnsi="Arial"/>
          <w:sz w:val="22"/>
          <w:szCs w:val="22"/>
        </w:rPr>
        <w:t xml:space="preserve">FedNow (USA): Launched July 2023. Focus on ISO 20022 message standards for rich transaction metadata. Settlement is final and irrevocable in seconds.</w:t>
      </w:r>
    </w:p>
    <w:p>
      <w:pPr>
        <w:pStyle w:val="ListParagraph"/>
        <w:numPr>
          <w:ilvl w:val="0"/>
          <w:numId w:val="2"/>
        </w:numPr>
        <w:spacing w:before="40" w:after="40"/>
      </w:pPr>
      <w:r>
        <w:rPr>
          <w:rFonts w:ascii="Arial" w:cs="Arial" w:eastAsia="Arial" w:hAnsi="Arial"/>
          <w:sz w:val="22"/>
          <w:szCs w:val="22"/>
        </w:rPr>
        <w:t xml:space="preserve">Faster Payments (UK): One of the oldest (2008) and most mature. Key learning is that fraud prevention must evolve continuously; the UK introduced Confirmation of Payee (name-matching before payment) after APP fraud became a major problem.</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8.2 Recommended USPs for Our Platform</w:t>
      </w:r>
    </w:p>
    <w:p>
      <w:pPr>
        <w:spacing w:before="200" w:after="80"/>
      </w:pPr>
      <w:r>
        <w:rPr>
          <w:rFonts w:ascii="Arial" w:cs="Arial" w:eastAsia="Arial" w:hAnsi="Arial"/>
          <w:b/>
          <w:bCs/>
          <w:color w:val="C00000"/>
          <w:sz w:val="22"/>
          <w:szCs w:val="22"/>
        </w:rPr>
        <w:t xml:space="preserve">A. Conversational Payment Interface</w:t>
      </w:r>
    </w:p>
    <w:p>
      <w:pPr>
        <w:spacing w:before="80" w:after="100"/>
        <w:jc w:val="both"/>
      </w:pPr>
      <w:r>
        <w:rPr>
          <w:rFonts w:ascii="Arial" w:cs="Arial" w:eastAsia="Arial" w:hAnsi="Arial"/>
          <w:sz w:val="22"/>
          <w:szCs w:val="22"/>
        </w:rPr>
        <w:t xml:space="preserve">Integration with national language chatbots and voice assistants (Hindi, regional languages) to initiate payments through natural conversation. This dramatically increases accessibility for non-smartphone-native users. Impact: Estimated 30-40 million additional users who are comfortable with voice but not touch interfaces.</w:t>
      </w:r>
    </w:p>
    <w:p>
      <w:pPr>
        <w:spacing w:before="200" w:after="80"/>
      </w:pPr>
      <w:r>
        <w:rPr>
          <w:rFonts w:ascii="Arial" w:cs="Arial" w:eastAsia="Arial" w:hAnsi="Arial"/>
          <w:b/>
          <w:bCs/>
          <w:color w:val="C00000"/>
          <w:sz w:val="22"/>
          <w:szCs w:val="22"/>
        </w:rPr>
        <w:t xml:space="preserve">B. Offline Payment Mode (Using Bluetooth Mesh)</w:t>
      </w:r>
    </w:p>
    <w:p>
      <w:pPr>
        <w:spacing w:before="80" w:after="100"/>
        <w:jc w:val="both"/>
      </w:pPr>
      <w:r>
        <w:rPr>
          <w:rFonts w:ascii="Arial" w:cs="Arial" w:eastAsia="Arial" w:hAnsi="Arial"/>
          <w:sz w:val="22"/>
          <w:szCs w:val="22"/>
        </w:rPr>
        <w:t xml:space="preserve">During network outages in rural areas, the app can initiate a Bluetooth-based local payment with a signed digital token that is settled once connectivity is restored. Inspired by similar prototypes in Kenya and India. Impact: Extends usability to 600 million citizens in low-connectivity zones, directly driving financial inclusion KPIs.</w:t>
      </w:r>
    </w:p>
    <w:p>
      <w:pPr>
        <w:spacing w:before="200" w:after="80"/>
      </w:pPr>
      <w:r>
        <w:rPr>
          <w:rFonts w:ascii="Arial" w:cs="Arial" w:eastAsia="Arial" w:hAnsi="Arial"/>
          <w:b/>
          <w:bCs/>
          <w:color w:val="C00000"/>
          <w:sz w:val="22"/>
          <w:szCs w:val="22"/>
        </w:rPr>
        <w:t xml:space="preserve">C. AI-Powered Spending Analytics for Users</w:t>
      </w:r>
    </w:p>
    <w:p>
      <w:pPr>
        <w:spacing w:before="80" w:after="100"/>
        <w:jc w:val="both"/>
      </w:pPr>
      <w:r>
        <w:rPr>
          <w:rFonts w:ascii="Arial" w:cs="Arial" w:eastAsia="Arial" w:hAnsi="Arial"/>
          <w:sz w:val="22"/>
          <w:szCs w:val="22"/>
        </w:rPr>
        <w:t xml:space="preserve">Unlike most payment rails that show raw transaction history, this platform provides opt-in spending categorization, monthly budget tracking, and predictive alerts (e.g., 'Your utility bill is due in 3 days and your balance may be insufficient'). Impact: Higher app engagement, reduced churn, and a data asset that can support financial product cross-sell for partner banks (with consent).</w:t>
      </w:r>
    </w:p>
    <w:p>
      <w:pPr>
        <w:spacing w:before="200" w:after="80"/>
      </w:pPr>
      <w:r>
        <w:rPr>
          <w:rFonts w:ascii="Arial" w:cs="Arial" w:eastAsia="Arial" w:hAnsi="Arial"/>
          <w:b/>
          <w:bCs/>
          <w:color w:val="C00000"/>
          <w:sz w:val="22"/>
          <w:szCs w:val="22"/>
        </w:rPr>
        <w:t xml:space="preserve">D. Dynamic QR with EMV Co-Protocol</w:t>
      </w:r>
    </w:p>
    <w:p>
      <w:pPr>
        <w:spacing w:before="80" w:after="100"/>
        <w:jc w:val="both"/>
      </w:pPr>
      <w:r>
        <w:rPr>
          <w:rFonts w:ascii="Arial" w:cs="Arial" w:eastAsia="Arial" w:hAnsi="Arial"/>
          <w:sz w:val="22"/>
          <w:szCs w:val="22"/>
        </w:rPr>
        <w:t xml:space="preserve">Static QR codes are vulnerable to tampering (an attacker can stick their QR over a merchant's). The system mandates EMV-compliant dynamic QR codes that expire within 90 seconds and embed a cryptographic signature of the merchant and amount. Impact: Near-elimination of QR tampering fraud, a growing attack vector in markets like India and Brazil.</w:t>
      </w:r>
    </w:p>
    <w:p>
      <w:pPr>
        <w:spacing w:before="200" w:after="80"/>
      </w:pPr>
      <w:r>
        <w:rPr>
          <w:rFonts w:ascii="Arial" w:cs="Arial" w:eastAsia="Arial" w:hAnsi="Arial"/>
          <w:b/>
          <w:bCs/>
          <w:color w:val="C00000"/>
          <w:sz w:val="22"/>
          <w:szCs w:val="22"/>
        </w:rPr>
        <w:t xml:space="preserve">E. Regulatory Sandbox API</w:t>
      </w:r>
    </w:p>
    <w:p>
      <w:pPr>
        <w:spacing w:before="80" w:after="100"/>
        <w:jc w:val="both"/>
      </w:pPr>
      <w:r>
        <w:rPr>
          <w:rFonts w:ascii="Arial" w:cs="Arial" w:eastAsia="Arial" w:hAnsi="Arial"/>
          <w:sz w:val="22"/>
          <w:szCs w:val="22"/>
        </w:rPr>
        <w:t xml:space="preserve">A fully simulated API environment mirroring production behavior, made available to fintech developers for free. This is exactly what NPCI did with UPI and what drove the explosion of apps like PhonePe, Google Pay, and Paytm. Impact: Accelerates the third-party developer ecosystem, leading to vertical-specific payment apps (healthcare, agriculture, education) that the platform itself does not need to build.</w:t>
      </w:r>
    </w:p>
    <w:p>
      <w:pPr>
        <w:spacing w:before="200" w:after="80"/>
      </w:pPr>
      <w:r>
        <w:rPr>
          <w:rFonts w:ascii="Arial" w:cs="Arial" w:eastAsia="Arial" w:hAnsi="Arial"/>
          <w:b/>
          <w:bCs/>
          <w:color w:val="C00000"/>
          <w:sz w:val="22"/>
          <w:szCs w:val="22"/>
        </w:rPr>
        <w:t xml:space="preserve">F. Cross-Border Payment Ready Architecture</w:t>
      </w:r>
    </w:p>
    <w:p>
      <w:pPr>
        <w:spacing w:before="80" w:after="100"/>
        <w:jc w:val="both"/>
      </w:pPr>
      <w:r>
        <w:rPr>
          <w:rFonts w:ascii="Arial" w:cs="Arial" w:eastAsia="Arial" w:hAnsi="Arial"/>
          <w:sz w:val="22"/>
          <w:szCs w:val="22"/>
        </w:rPr>
        <w:t xml:space="preserve">By designing the payment message schema to be ISO 20022 compliant from day one and embedding currency code and correspondent bank routing fields in every transaction schema (dormant initially), international expansion requires only integration work rather than a redesign. Impact: Cuts cross-border launch time by an estimated 18 months compared to retrofitting.</w:t>
      </w:r>
    </w:p>
    <w:p>
      <w:pPr>
        <w:spacing w:before="80" w:after="80"/>
      </w:pPr>
      <w:r>
        <w:t xml:space="preserve"/>
      </w:r>
    </w:p>
    <w:p>
      <w:pPr>
        <w:pStyle w:val="Heading2"/>
        <w:spacing w:before="280" w:after="120"/>
      </w:pPr>
      <w:r>
        <w:rPr>
          <w:rFonts w:ascii="Arial" w:cs="Arial" w:eastAsia="Arial" w:hAnsi="Arial"/>
          <w:b/>
          <w:bCs/>
          <w:color w:val="2E75B6"/>
          <w:sz w:val="26"/>
          <w:szCs w:val="26"/>
        </w:rPr>
        <w:t xml:space="preserve">8.3 Impact &amp; ROI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Estimated Impact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ROI Indicator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Voice/Conversational 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30-40M new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Transaction volume +15%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Offline Bluetooth Mode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Coverage in 600M rural citizens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Financial inclusion, govt. grant eligibility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AI Spending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User retention +25%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Partner revenue from data-driven cross-sell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Dynamic EMV QR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QR fraud reduced by ~90%</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Reduced chargeback &amp; dispute costs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Developer Sandbox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500+ fintech integrations in Y1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Ecosystem TPS contributions +40%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ISO 20022 Compliance from Day 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Cross-border launch 18mo earlier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sz w:val="20"/>
                <w:szCs w:val="20"/>
              </w:rPr>
              <w:t xml:space="preserve">International transaction revenue stream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Risk-Tiered Authentication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Fraud loss reduction ~60%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sz w:val="20"/>
                <w:szCs w:val="20"/>
              </w:rPr>
              <w:t xml:space="preserve">Lower operational risk cost</w:t>
            </w:r>
          </w:p>
        </w:tc>
      </w:tr>
    </w:tbl>
    <w:p>
      <w:pPr>
        <w:spacing w:before="80" w:after="80"/>
      </w:pPr>
      <w:r>
        <w:t xml:space="preserve"/>
      </w:r>
    </w:p>
    <w:p>
      <w:pPr>
        <w:pStyle w:val="Heading2"/>
        <w:spacing w:before="280" w:after="120"/>
      </w:pPr>
      <w:r>
        <w:rPr>
          <w:rFonts w:ascii="Arial" w:cs="Arial" w:eastAsia="Arial" w:hAnsi="Arial"/>
          <w:b/>
          <w:bCs/>
          <w:color w:val="2E75B6"/>
          <w:sz w:val="26"/>
          <w:szCs w:val="26"/>
        </w:rPr>
        <w:t xml:space="preserve">Conclusion</w:t>
      </w:r>
    </w:p>
    <w:p>
      <w:pPr>
        <w:spacing w:before="80" w:after="100"/>
        <w:jc w:val="both"/>
      </w:pPr>
      <w:r>
        <w:rPr>
          <w:rFonts w:ascii="Arial" w:cs="Arial" w:eastAsia="Arial" w:hAnsi="Arial"/>
          <w:sz w:val="22"/>
          <w:szCs w:val="22"/>
        </w:rPr>
        <w:t xml:space="preserve">This architecture is designed around one core belief: that a national payments system is more than a technology project. It is public infrastructure. Every design choice, from the idempotency strategy to the offline mode, is made with the goal of ensuring that a farmer making a micropayment in a rural village has the same reliability guarantee as a corporate treasury making a bulk salary transfer. The system borrows heavily from what works in UPI, PIX, and FedNow, but deliberately adds the features that make it future-proof for international expansion, developer ecosystem growth, and the deep inclusion of citizens who are not yet comfortable with digital payments.</w:t>
      </w:r>
    </w:p>
    <w:p>
      <w:pPr>
        <w:spacing w:before="80" w:after="80"/>
      </w:pPr>
      <w:r>
        <w:t xml:space="preserve"/>
      </w:r>
    </w:p>
    <w:p>
      <w:pPr>
        <w:spacing w:before="400" w:after="0"/>
        <w:jc w:val="center"/>
      </w:pPr>
      <w:r>
        <w:rPr>
          <w:rFonts w:ascii="Arial" w:cs="Arial" w:eastAsia="Arial" w:hAnsi="Arial"/>
          <w:i/>
          <w:iCs/>
          <w:color w:val="888888"/>
          <w:sz w:val="20"/>
          <w:szCs w:val="20"/>
        </w:rPr>
        <w:t xml:space="preserve">— End of Assignment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before="120"/>
    </w:pPr>
    <w:r>
      <w:rPr>
        <w:rFonts w:ascii="Arial" w:cs="Arial" w:eastAsia="Arial" w:hAnsi="Arial"/>
        <w:color w:val="888888"/>
        <w:sz w:val="16"/>
        <w:szCs w:val="16"/>
      </w:rPr>
      <w:t xml:space="preserve">© 2026 UNEXT Learning Pvt Ltd  |  Confidential Assignment Submission</w:t>
    </w:r>
    <w:r>
      <w:rPr>
        <w:rFonts w:ascii="Arial" w:cs="Arial" w:eastAsia="Arial" w:hAnsi="Arial"/>
        <w:color w:val="888888"/>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i/>
        <w:iCs/>
        <w:color w:val="666666"/>
        <w:sz w:val="18"/>
        <w:szCs w:val="18"/>
      </w:rPr>
      <w:t xml:space="preserve">National Real-Time Payments System  |  Architecture Case Study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2026-02-25T08:55:37.890Z</dcterms:created>
  <dcterms:modified xsi:type="dcterms:W3CDTF">2026-02-25T08:55:37.891Z</dcterms:modified>
</cp:coreProperties>
</file>

<file path=docProps/custom.xml><?xml version="1.0" encoding="utf-8"?>
<Properties xmlns="http://schemas.openxmlformats.org/officeDocument/2006/custom-properties" xmlns:vt="http://schemas.openxmlformats.org/officeDocument/2006/docPropsVTypes"/>
</file>