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EA4F1" w14:textId="7598AA3F" w:rsidR="000D24C1" w:rsidRDefault="000D24C1" w:rsidP="000D24C1">
      <w:pPr>
        <w:pStyle w:val="Heading1"/>
        <w:spacing w:before="120" w:after="200"/>
        <w:jc w:val="center"/>
        <w:rPr>
          <w:rFonts w:asciiTheme="minorHAnsi" w:hAnsiTheme="minorHAnsi" w:cstheme="minorHAnsi"/>
          <w:color w:val="auto"/>
          <w:sz w:val="48"/>
          <w:szCs w:val="48"/>
        </w:rPr>
      </w:pPr>
      <w:r>
        <w:rPr>
          <w:rFonts w:asciiTheme="minorHAnsi" w:hAnsiTheme="minorHAnsi" w:cstheme="minorHAnsi"/>
          <w:color w:val="auto"/>
          <w:sz w:val="48"/>
          <w:szCs w:val="48"/>
        </w:rPr>
        <w:t>SE LAB 1</w:t>
      </w:r>
    </w:p>
    <w:p w14:paraId="283A2112" w14:textId="2EEA4BF1" w:rsidR="000D24C1" w:rsidRDefault="000D24C1" w:rsidP="000D24C1">
      <w:pPr>
        <w:pStyle w:val="Heading1"/>
        <w:spacing w:before="120" w:after="200"/>
        <w:rPr>
          <w:rFonts w:asciiTheme="minorHAnsi" w:hAnsiTheme="minorHAnsi" w:cstheme="minorHAnsi"/>
          <w:color w:val="auto"/>
          <w:sz w:val="36"/>
          <w:szCs w:val="36"/>
        </w:rPr>
      </w:pPr>
      <w:r>
        <w:rPr>
          <w:rFonts w:asciiTheme="minorHAnsi" w:hAnsiTheme="minorHAnsi" w:cstheme="minorHAnsi"/>
          <w:color w:val="auto"/>
          <w:sz w:val="36"/>
          <w:szCs w:val="36"/>
        </w:rPr>
        <w:t>Name: Ashvin Ronald Lobo</w:t>
      </w:r>
    </w:p>
    <w:p w14:paraId="051449CE" w14:textId="4105DB2F" w:rsidR="000D24C1" w:rsidRDefault="000D24C1" w:rsidP="000D24C1">
      <w:pPr>
        <w:pStyle w:val="Heading1"/>
        <w:spacing w:before="120" w:after="200"/>
        <w:rPr>
          <w:rFonts w:asciiTheme="minorHAnsi" w:hAnsiTheme="minorHAnsi" w:cstheme="minorHAnsi"/>
          <w:color w:val="auto"/>
          <w:sz w:val="36"/>
          <w:szCs w:val="36"/>
        </w:rPr>
      </w:pPr>
      <w:r>
        <w:rPr>
          <w:rFonts w:asciiTheme="minorHAnsi" w:hAnsiTheme="minorHAnsi" w:cstheme="minorHAnsi"/>
          <w:color w:val="auto"/>
          <w:sz w:val="36"/>
          <w:szCs w:val="36"/>
        </w:rPr>
        <w:t>SRN: PES1UG24AM345</w:t>
      </w:r>
    </w:p>
    <w:p w14:paraId="2B869E4D" w14:textId="21D3A14A" w:rsidR="000D24C1" w:rsidRDefault="000D24C1" w:rsidP="000D24C1">
      <w:pPr>
        <w:pStyle w:val="Heading1"/>
        <w:spacing w:before="120" w:after="200"/>
        <w:rPr>
          <w:rFonts w:asciiTheme="minorHAnsi" w:hAnsiTheme="minorHAnsi" w:cstheme="minorHAnsi"/>
          <w:color w:val="auto"/>
          <w:sz w:val="36"/>
          <w:szCs w:val="36"/>
        </w:rPr>
      </w:pPr>
      <w:r>
        <w:rPr>
          <w:rFonts w:asciiTheme="minorHAnsi" w:hAnsiTheme="minorHAnsi" w:cstheme="minorHAnsi"/>
          <w:color w:val="auto"/>
          <w:sz w:val="36"/>
          <w:szCs w:val="36"/>
        </w:rPr>
        <w:t>Class: AIML F</w:t>
      </w:r>
    </w:p>
    <w:p w14:paraId="6A30FE85" w14:textId="77777777" w:rsidR="000D24C1" w:rsidRDefault="000D24C1" w:rsidP="000D24C1">
      <w:pPr>
        <w:pStyle w:val="Heading1"/>
        <w:spacing w:before="120" w:after="200"/>
        <w:rPr>
          <w:rFonts w:asciiTheme="minorHAnsi" w:hAnsiTheme="minorHAnsi" w:cstheme="minorHAnsi"/>
          <w:color w:val="auto"/>
          <w:sz w:val="36"/>
          <w:szCs w:val="36"/>
        </w:rPr>
      </w:pPr>
    </w:p>
    <w:p w14:paraId="1ADF818B" w14:textId="493532DD" w:rsidR="002505C3" w:rsidRDefault="002505C3" w:rsidP="000D24C1">
      <w:pPr>
        <w:pStyle w:val="Heading1"/>
        <w:spacing w:before="120" w:after="200"/>
        <w:rPr>
          <w:rFonts w:asciiTheme="minorHAnsi" w:hAnsiTheme="minorHAnsi" w:cstheme="minorHAnsi"/>
          <w:b/>
          <w:bCs/>
          <w:color w:val="auto"/>
          <w:sz w:val="36"/>
          <w:szCs w:val="36"/>
        </w:rPr>
      </w:pPr>
      <w:r w:rsidRPr="002505C3">
        <w:rPr>
          <w:rFonts w:asciiTheme="minorHAnsi" w:hAnsiTheme="minorHAnsi" w:cstheme="minorHAnsi"/>
          <w:b/>
          <w:bCs/>
          <w:color w:val="auto"/>
          <w:sz w:val="36"/>
          <w:szCs w:val="36"/>
        </w:rPr>
        <w:t>PROBLEM STATEMENT #45</w:t>
      </w:r>
    </w:p>
    <w:p w14:paraId="1DD188A3" w14:textId="4BFF20BA" w:rsidR="004B0AA3" w:rsidRDefault="004B0AA3" w:rsidP="000D24C1">
      <w:pPr>
        <w:pStyle w:val="Heading1"/>
        <w:spacing w:before="120" w:after="200"/>
        <w:rPr>
          <w:rFonts w:asciiTheme="minorHAnsi" w:hAnsiTheme="minorHAnsi" w:cstheme="minorHAnsi"/>
          <w:color w:val="auto"/>
          <w:sz w:val="36"/>
          <w:szCs w:val="36"/>
        </w:rPr>
      </w:pPr>
      <w:r w:rsidRPr="004B0AA3">
        <w:rPr>
          <w:rFonts w:asciiTheme="minorHAnsi" w:hAnsiTheme="minorHAnsi" w:cstheme="minorHAnsi"/>
          <w:color w:val="auto"/>
          <w:sz w:val="36"/>
          <w:szCs w:val="36"/>
        </w:rPr>
        <w:t>Multi-Cloud Asset Cost Optimization Portal</w:t>
      </w:r>
    </w:p>
    <w:p w14:paraId="3BD361D9" w14:textId="77777777" w:rsidR="002505C3" w:rsidRPr="000D24C1" w:rsidRDefault="002505C3" w:rsidP="000D24C1">
      <w:pPr>
        <w:pStyle w:val="Heading1"/>
        <w:spacing w:before="120" w:after="200"/>
        <w:rPr>
          <w:rFonts w:asciiTheme="minorHAnsi" w:hAnsiTheme="minorHAnsi" w:cstheme="minorHAnsi"/>
          <w:color w:val="auto"/>
          <w:sz w:val="36"/>
          <w:szCs w:val="36"/>
        </w:rPr>
      </w:pPr>
    </w:p>
    <w:p w14:paraId="0EECCB3F" w14:textId="62555E71" w:rsidR="00CF5288" w:rsidRPr="002505C3" w:rsidRDefault="00000000" w:rsidP="000D24C1">
      <w:pPr>
        <w:pStyle w:val="Heading1"/>
        <w:spacing w:before="120" w:after="200"/>
        <w:rPr>
          <w:rFonts w:asciiTheme="minorHAnsi" w:hAnsiTheme="minorHAnsi" w:cstheme="minorHAnsi"/>
          <w:b/>
          <w:bCs/>
          <w:color w:val="auto"/>
        </w:rPr>
      </w:pPr>
      <w:r w:rsidRPr="002505C3">
        <w:rPr>
          <w:rFonts w:asciiTheme="minorHAnsi" w:hAnsiTheme="minorHAnsi" w:cstheme="minorHAnsi"/>
          <w:b/>
          <w:bCs/>
          <w:color w:val="auto"/>
        </w:rPr>
        <w:t>Requirements Table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7"/>
        <w:gridCol w:w="1294"/>
        <w:gridCol w:w="2560"/>
        <w:gridCol w:w="927"/>
        <w:gridCol w:w="2552"/>
        <w:gridCol w:w="2050"/>
      </w:tblGrid>
      <w:tr w:rsidR="00CF5288" w:rsidRPr="000D24C1" w14:paraId="4D80FEFD" w14:textId="77777777" w:rsidTr="000D24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DFBF1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  <w:b/>
                <w:bCs/>
              </w:rPr>
              <w:t>Req ID</w:t>
            </w:r>
          </w:p>
        </w:tc>
        <w:tc>
          <w:tcPr>
            <w:tcW w:w="1109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70E0A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  <w:b/>
                <w:bCs/>
              </w:rPr>
              <w:t>Type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26608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  <w:b/>
                <w:bCs/>
              </w:rPr>
              <w:t>Description</w:t>
            </w:r>
          </w:p>
        </w:tc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116ED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  <w:b/>
                <w:bCs/>
              </w:rPr>
              <w:t>Priority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949A7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  <w:b/>
                <w:bCs/>
              </w:rPr>
              <w:t>Acceptance Criteria</w:t>
            </w:r>
          </w:p>
        </w:tc>
        <w:tc>
          <w:tcPr>
            <w:tcW w:w="2115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B776B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  <w:b/>
                <w:bCs/>
              </w:rPr>
              <w:t>Rationale</w:t>
            </w:r>
          </w:p>
        </w:tc>
      </w:tr>
      <w:tr w:rsidR="00CF5288" w:rsidRPr="000D24C1" w14:paraId="7A1A4B0D" w14:textId="77777777" w:rsidTr="000D24C1">
        <w:tblPrEx>
          <w:tblCellMar>
            <w:top w:w="0" w:type="dxa"/>
            <w:bottom w:w="0" w:type="dxa"/>
          </w:tblCellMar>
        </w:tblPrEx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315CF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  <w:b/>
                <w:bCs/>
              </w:rPr>
              <w:t>FR-001</w:t>
            </w:r>
          </w:p>
        </w:tc>
        <w:tc>
          <w:tcPr>
            <w:tcW w:w="1109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8A79A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Functional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28D05" w14:textId="7FC531CC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The system shall ingest cloud billing CSV exports from AWS, Azure, and GCP, categorize costs by service and project tag, and highlight compute instances with less than 5% average CPU utilization over a 14-day window.</w:t>
            </w:r>
          </w:p>
        </w:tc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8DCFE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High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2F6EE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Pass: An idle cloud asset is flagged with a monthly savings estimate.</w:t>
            </w:r>
          </w:p>
          <w:p w14:paraId="7DE7EF8F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Fail: An active instance (≥5% CPU) is misclassified as idle.</w:t>
            </w:r>
          </w:p>
        </w:tc>
        <w:tc>
          <w:tcPr>
            <w:tcW w:w="2115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E3EC1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Idle compute is one of the largest recurring sources of avoidable cloud spend; automated detection directly enables the portal's core cost-optimization value proposition.</w:t>
            </w:r>
          </w:p>
        </w:tc>
      </w:tr>
      <w:tr w:rsidR="00CF5288" w:rsidRPr="000D24C1" w14:paraId="2E50037C" w14:textId="77777777" w:rsidTr="000D24C1">
        <w:tblPrEx>
          <w:tblCellMar>
            <w:top w:w="0" w:type="dxa"/>
            <w:bottom w:w="0" w:type="dxa"/>
          </w:tblCellMar>
        </w:tblPrEx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E22DD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  <w:b/>
                <w:bCs/>
              </w:rPr>
              <w:t>FR-002</w:t>
            </w:r>
          </w:p>
        </w:tc>
        <w:tc>
          <w:tcPr>
            <w:tcW w:w="1109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C5CE9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Functional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554AD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The system shall scan ingested billing and inventory data to identify storage volumes (e.g., EBS, Managed Disks, Persistent Disks) that have been unattached to any compute instance for more than 7 consecutive days.</w:t>
            </w:r>
          </w:p>
        </w:tc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E3841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High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0F36C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Pass: A volume unattached for &gt;7 days is flagged with its size, provider, and estimated monthly cost.</w:t>
            </w:r>
          </w:p>
          <w:p w14:paraId="24275FF6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Fail: A volume attached at any point within the 7-day window is flagged as unattached.</w:t>
            </w:r>
          </w:p>
        </w:tc>
        <w:tc>
          <w:tcPr>
            <w:tcW w:w="2115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91F3C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Orphaned storage volumes continue to accrue cost with no operational benefit; surfacing them lets FinOps analysts recover spend without impacting running workloads.</w:t>
            </w:r>
          </w:p>
        </w:tc>
      </w:tr>
      <w:tr w:rsidR="00CF5288" w:rsidRPr="000D24C1" w14:paraId="43074DE3" w14:textId="77777777" w:rsidTr="000D24C1">
        <w:tblPrEx>
          <w:tblCellMar>
            <w:top w:w="0" w:type="dxa"/>
            <w:bottom w:w="0" w:type="dxa"/>
          </w:tblCellMar>
        </w:tblPrEx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278D9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  <w:b/>
                <w:bCs/>
              </w:rPr>
              <w:t>FR-003</w:t>
            </w:r>
          </w:p>
        </w:tc>
        <w:tc>
          <w:tcPr>
            <w:tcW w:w="1109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2FDA4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Functional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94A20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 xml:space="preserve">The system shall compare aggregated actual spend per project/service against configured monthly budget thresholds and shall dispatch a budget breach alert (email and/or SMS) to designated recipients when </w:t>
            </w:r>
            <w:r w:rsidRPr="000D24C1">
              <w:rPr>
                <w:rFonts w:asciiTheme="minorHAnsi" w:hAnsiTheme="minorHAnsi" w:cstheme="minorHAnsi"/>
              </w:rPr>
              <w:lastRenderedPageBreak/>
              <w:t>actual spend exceeds the threshold.</w:t>
            </w:r>
          </w:p>
        </w:tc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DADC1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lastRenderedPageBreak/>
              <w:t>High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F8FF8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Pass: An alert is dispatched within 5 minutes of spend crossing the configured threshold, containing project name, threshold, and actual spend.</w:t>
            </w:r>
          </w:p>
          <w:p w14:paraId="71F2E22D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 xml:space="preserve">Fail: Spend exceeds threshold by more than 5% </w:t>
            </w:r>
            <w:r w:rsidRPr="000D24C1">
              <w:rPr>
                <w:rFonts w:asciiTheme="minorHAnsi" w:hAnsiTheme="minorHAnsi" w:cstheme="minorHAnsi"/>
              </w:rPr>
              <w:lastRenderedPageBreak/>
              <w:t>and no alert is generated or logged.</w:t>
            </w:r>
          </w:p>
        </w:tc>
        <w:tc>
          <w:tcPr>
            <w:tcW w:w="2115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BC453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lastRenderedPageBreak/>
              <w:t>Timely breach notifications prevent budget overruns from going unnoticed until the end of a billing cycle, giving stakeholders a chance to intervene early.</w:t>
            </w:r>
          </w:p>
        </w:tc>
      </w:tr>
      <w:tr w:rsidR="00CF5288" w:rsidRPr="000D24C1" w14:paraId="61B1572A" w14:textId="77777777" w:rsidTr="000D24C1">
        <w:tblPrEx>
          <w:tblCellMar>
            <w:top w:w="0" w:type="dxa"/>
            <w:bottom w:w="0" w:type="dxa"/>
          </w:tblCellMar>
        </w:tblPrEx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3DDFA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  <w:b/>
                <w:bCs/>
              </w:rPr>
              <w:t>FR-004</w:t>
            </w:r>
          </w:p>
        </w:tc>
        <w:tc>
          <w:tcPr>
            <w:tcW w:w="1109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7717F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Functional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9FF62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The system shall display a categorized cost breakdown (by cloud provider, service, and project tag) on the FinOps Analyst dashboard, refreshed within 2 minutes of new billing data being ingested.</w:t>
            </w:r>
          </w:p>
        </w:tc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7422B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Medium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2574A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Pass: Dashboard totals reconcile with the source CSV totals within 0.5% after a refresh.</w:t>
            </w:r>
          </w:p>
          <w:p w14:paraId="00DBB2C3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Fail: Dashboard values remain stale more than 2 minutes after successful ingestion.</w:t>
            </w:r>
          </w:p>
        </w:tc>
        <w:tc>
          <w:tcPr>
            <w:tcW w:w="2115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5A681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A trustworthy, near-real-time dashboard is the primary interface analysts use to act on cost data; stale or inaccurate figures undermine confidence in the whole portal.</w:t>
            </w:r>
          </w:p>
        </w:tc>
      </w:tr>
      <w:tr w:rsidR="00CF5288" w:rsidRPr="000D24C1" w14:paraId="1818E8B1" w14:textId="77777777" w:rsidTr="000D24C1">
        <w:tblPrEx>
          <w:tblCellMar>
            <w:top w:w="0" w:type="dxa"/>
            <w:bottom w:w="0" w:type="dxa"/>
          </w:tblCellMar>
        </w:tblPrEx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9C35B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  <w:b/>
                <w:bCs/>
              </w:rPr>
              <w:t>FR-005</w:t>
            </w:r>
          </w:p>
        </w:tc>
        <w:tc>
          <w:tcPr>
            <w:tcW w:w="1109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85B2A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Functional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E43AE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The system shall restrict configuration of budget thresholds and management of user access/roles to users assigned the Cloud Administrator role, and shall reject such actions from any other role.</w:t>
            </w:r>
          </w:p>
        </w:tc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759DB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Medium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EF2C3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Pass: A Cloud Administrator successfully updates a threshold; a FinOps Analyst attempting the same action receives an authorization error and no change is persisted.</w:t>
            </w:r>
          </w:p>
          <w:p w14:paraId="3203F244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Fail: A non-administrator role is able to modify a budget threshold or user access setting.</w:t>
            </w:r>
          </w:p>
        </w:tc>
        <w:tc>
          <w:tcPr>
            <w:tcW w:w="2115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1E2DC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Budget thresholds and access control govern financial alerting and data exposure; limiting configuration rights to administrators reduces the risk of misconfiguration or unauthorized changes.</w:t>
            </w:r>
          </w:p>
        </w:tc>
      </w:tr>
      <w:tr w:rsidR="00CF5288" w:rsidRPr="000D24C1" w14:paraId="498DC46D" w14:textId="77777777" w:rsidTr="000D24C1">
        <w:tblPrEx>
          <w:tblCellMar>
            <w:top w:w="0" w:type="dxa"/>
            <w:bottom w:w="0" w:type="dxa"/>
          </w:tblCellMar>
        </w:tblPrEx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38ED1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  <w:b/>
                <w:bCs/>
              </w:rPr>
              <w:t>NFR-001</w:t>
            </w:r>
          </w:p>
        </w:tc>
        <w:tc>
          <w:tcPr>
            <w:tcW w:w="1109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AAA77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Performance &amp; Security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A5619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The portal must parse multi-gigabyte cloud billing files and update cost dashboards in under 2 minutes, while enforcing encryption of billing data in transit and at rest.</w:t>
            </w:r>
          </w:p>
        </w:tc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5BFC4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High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AB55F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Pass: Benchmarking tests confirm dashboard update latency under target with a multi-GB file under simulated peak load, and security scans confirm TLS in transit and AES-256 at rest.</w:t>
            </w:r>
          </w:p>
          <w:p w14:paraId="6FCCB7F4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Fail: Latency exceeds 2 minutes under peak load, or billing data is found unencrypted at rest or in transit.</w:t>
            </w:r>
          </w:p>
        </w:tc>
        <w:tc>
          <w:tcPr>
            <w:tcW w:w="2115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9FF8F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Large enterprises generate very large billing exports; slow processing delays cost visibility, and billing data is sensitive financial information requiring strong protection.</w:t>
            </w:r>
          </w:p>
        </w:tc>
      </w:tr>
      <w:tr w:rsidR="00CF5288" w:rsidRPr="000D24C1" w14:paraId="4AD444FA" w14:textId="77777777" w:rsidTr="000D24C1">
        <w:tblPrEx>
          <w:tblCellMar>
            <w:top w:w="0" w:type="dxa"/>
            <w:bottom w:w="0" w:type="dxa"/>
          </w:tblCellMar>
        </w:tblPrEx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55B45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  <w:b/>
                <w:bCs/>
              </w:rPr>
              <w:t>NFR-002</w:t>
            </w:r>
          </w:p>
        </w:tc>
        <w:tc>
          <w:tcPr>
            <w:tcW w:w="1109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B3F74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Reliability &amp; Usability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E39BC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The portal shall maintain 99.5% monthly uptime during business hours and render the cost dashboard within 3 seconds for datasets of up to 500,000 billing line items.</w:t>
            </w:r>
          </w:p>
        </w:tc>
        <w:tc>
          <w:tcPr>
            <w:tcW w:w="70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986B0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Medium</w:t>
            </w:r>
          </w:p>
        </w:tc>
        <w:tc>
          <w:tcPr>
            <w:tcW w:w="272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0D9EA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Pass: Uptime monitoring logs show ≥99.5% availability over a rolling 30-day period, and dashboard load tests with 500,000 records complete in ≤3 seconds.</w:t>
            </w:r>
          </w:p>
          <w:p w14:paraId="72E4C6E3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Fail: Monthly uptime falls below 99.5%, or dashboard render time exceeds 3 seconds at the specified data volume.</w:t>
            </w:r>
          </w:p>
        </w:tc>
        <w:tc>
          <w:tcPr>
            <w:tcW w:w="2115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EED59" w14:textId="77777777" w:rsidR="00CF5288" w:rsidRPr="000D24C1" w:rsidRDefault="00000000">
            <w:pPr>
              <w:rPr>
                <w:rFonts w:asciiTheme="minorHAnsi" w:hAnsiTheme="minorHAnsi" w:cstheme="minorHAnsi"/>
              </w:rPr>
            </w:pPr>
            <w:r w:rsidRPr="000D24C1">
              <w:rPr>
                <w:rFonts w:asciiTheme="minorHAnsi" w:hAnsiTheme="minorHAnsi" w:cstheme="minorHAnsi"/>
              </w:rPr>
              <w:t>FinOps decisions depend on the dashboard being consistently available and responsive during working hours; excessive downtime or lag directly erodes user trust and adoption.</w:t>
            </w:r>
          </w:p>
        </w:tc>
      </w:tr>
    </w:tbl>
    <w:p w14:paraId="25EF2131" w14:textId="77777777" w:rsidR="000D24C1" w:rsidRDefault="000D24C1">
      <w:pPr>
        <w:rPr>
          <w:rFonts w:asciiTheme="minorHAnsi" w:hAnsiTheme="minorHAnsi" w:cstheme="minorHAnsi"/>
          <w:sz w:val="32"/>
          <w:szCs w:val="32"/>
        </w:rPr>
      </w:pPr>
    </w:p>
    <w:p w14:paraId="25B4575E" w14:textId="58D02C25" w:rsidR="000D24C1" w:rsidRDefault="000D24C1">
      <w:pPr>
        <w:rPr>
          <w:rFonts w:asciiTheme="minorHAnsi" w:hAnsiTheme="minorHAnsi" w:cstheme="minorHAnsi"/>
          <w:sz w:val="32"/>
          <w:szCs w:val="32"/>
        </w:rPr>
      </w:pPr>
    </w:p>
    <w:p w14:paraId="6CAFCD72" w14:textId="41021622" w:rsidR="000D24C1" w:rsidRDefault="000D24C1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UML Use Case Diagram</w:t>
      </w:r>
      <w:r w:rsidR="002505C3"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1BBF1E72" w14:textId="77777777" w:rsidR="002505C3" w:rsidRDefault="002505C3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59F070ED" w14:textId="1FF79B3F" w:rsidR="00000DF0" w:rsidRPr="00000DF0" w:rsidRDefault="00000DF0" w:rsidP="00000DF0">
      <w:pPr>
        <w:rPr>
          <w:rFonts w:asciiTheme="minorHAnsi" w:hAnsiTheme="minorHAnsi" w:cstheme="minorHAnsi"/>
        </w:rPr>
      </w:pPr>
      <w:r w:rsidRPr="00000DF0">
        <w:rPr>
          <w:rFonts w:asciiTheme="minorHAnsi" w:hAnsiTheme="minorHAnsi" w:cstheme="minorHAnsi"/>
        </w:rPr>
        <w:drawing>
          <wp:inline distT="0" distB="0" distL="0" distR="0" wp14:anchorId="7D87B324" wp14:editId="151D4BF4">
            <wp:extent cx="6400800" cy="3445510"/>
            <wp:effectExtent l="0" t="0" r="0" b="2540"/>
            <wp:docPr id="526458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8FE68" w14:textId="61BC6A1F" w:rsidR="002505C3" w:rsidRDefault="002505C3" w:rsidP="002505C3">
      <w:pPr>
        <w:rPr>
          <w:rFonts w:asciiTheme="minorHAnsi" w:hAnsiTheme="minorHAnsi" w:cstheme="minorHAnsi"/>
        </w:rPr>
      </w:pPr>
    </w:p>
    <w:p w14:paraId="235638DB" w14:textId="77777777" w:rsidR="002505C3" w:rsidRDefault="002505C3" w:rsidP="002505C3">
      <w:pPr>
        <w:rPr>
          <w:rFonts w:asciiTheme="minorHAnsi" w:hAnsiTheme="minorHAnsi" w:cstheme="minorHAnsi"/>
        </w:rPr>
      </w:pPr>
    </w:p>
    <w:p w14:paraId="6E72E4FE" w14:textId="77777777" w:rsidR="002505C3" w:rsidRDefault="002505C3">
      <w:pPr>
        <w:pStyle w:val="Heading2"/>
        <w:spacing w:before="120" w:after="160"/>
        <w:rPr>
          <w:rFonts w:asciiTheme="minorHAnsi" w:hAnsiTheme="minorHAnsi" w:cstheme="minorHAnsi"/>
          <w:color w:val="auto"/>
        </w:rPr>
      </w:pPr>
    </w:p>
    <w:p w14:paraId="378C4E62" w14:textId="27042210" w:rsidR="002505C3" w:rsidRPr="002505C3" w:rsidRDefault="002505C3">
      <w:pPr>
        <w:pStyle w:val="Heading2"/>
        <w:spacing w:before="120" w:after="160"/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  <w:r w:rsidRPr="002505C3">
        <w:rPr>
          <w:rFonts w:asciiTheme="minorHAnsi" w:hAnsiTheme="minorHAnsi" w:cstheme="minorHAnsi"/>
          <w:b/>
          <w:bCs/>
          <w:color w:val="auto"/>
          <w:sz w:val="32"/>
          <w:szCs w:val="32"/>
        </w:rPr>
        <w:t>Use-Case Flow Document</w:t>
      </w:r>
    </w:p>
    <w:p w14:paraId="24F4528C" w14:textId="48C7E440" w:rsidR="00CF5288" w:rsidRPr="002505C3" w:rsidRDefault="00000000">
      <w:pPr>
        <w:pStyle w:val="Heading2"/>
        <w:spacing w:before="120" w:after="160"/>
        <w:rPr>
          <w:rFonts w:asciiTheme="minorHAnsi" w:hAnsiTheme="minorHAnsi" w:cstheme="minorHAnsi"/>
          <w:color w:val="auto"/>
        </w:rPr>
      </w:pPr>
      <w:r w:rsidRPr="002505C3">
        <w:rPr>
          <w:rFonts w:asciiTheme="minorHAnsi" w:hAnsiTheme="minorHAnsi" w:cstheme="minorHAnsi"/>
          <w:color w:val="auto"/>
        </w:rPr>
        <w:t>Use Case: Dispatch Budget Breach Alert</w:t>
      </w:r>
    </w:p>
    <w:p w14:paraId="0B43A46C" w14:textId="77777777" w:rsidR="00CF5288" w:rsidRPr="000D24C1" w:rsidRDefault="00000000">
      <w:pPr>
        <w:pStyle w:val="Heading3"/>
        <w:spacing w:before="240" w:after="120"/>
        <w:rPr>
          <w:rFonts w:asciiTheme="minorHAnsi" w:hAnsiTheme="minorHAnsi" w:cstheme="minorHAnsi"/>
          <w:color w:val="auto"/>
        </w:rPr>
      </w:pPr>
      <w:r w:rsidRPr="000D24C1">
        <w:rPr>
          <w:rFonts w:asciiTheme="minorHAnsi" w:hAnsiTheme="minorHAnsi" w:cstheme="minorHAnsi"/>
          <w:color w:val="auto"/>
        </w:rPr>
        <w:t>Main Success Scenario</w:t>
      </w:r>
    </w:p>
    <w:p w14:paraId="3D07748A" w14:textId="77777777" w:rsidR="00CF5288" w:rsidRPr="000D24C1" w:rsidRDefault="00000000">
      <w:pPr>
        <w:spacing w:after="60"/>
        <w:ind w:left="360" w:hanging="260"/>
        <w:rPr>
          <w:rFonts w:asciiTheme="minorHAnsi" w:hAnsiTheme="minorHAnsi" w:cstheme="minorHAnsi"/>
        </w:rPr>
      </w:pPr>
      <w:r w:rsidRPr="000D24C1">
        <w:rPr>
          <w:rFonts w:asciiTheme="minorHAnsi" w:hAnsiTheme="minorHAnsi" w:cstheme="minorHAnsi"/>
          <w:b/>
          <w:bCs/>
          <w:sz w:val="21"/>
          <w:szCs w:val="21"/>
        </w:rPr>
        <w:t xml:space="preserve">1. </w:t>
      </w:r>
      <w:r w:rsidRPr="000D24C1">
        <w:rPr>
          <w:rFonts w:asciiTheme="minorHAnsi" w:hAnsiTheme="minorHAnsi" w:cstheme="minorHAnsi"/>
          <w:sz w:val="21"/>
          <w:szCs w:val="21"/>
        </w:rPr>
        <w:t>The system aggregates categorized cost data by project and service on a scheduled interval.</w:t>
      </w:r>
    </w:p>
    <w:p w14:paraId="620E998A" w14:textId="77777777" w:rsidR="00CF5288" w:rsidRPr="000D24C1" w:rsidRDefault="00000000">
      <w:pPr>
        <w:spacing w:after="60"/>
        <w:ind w:left="360" w:hanging="260"/>
        <w:rPr>
          <w:rFonts w:asciiTheme="minorHAnsi" w:hAnsiTheme="minorHAnsi" w:cstheme="minorHAnsi"/>
        </w:rPr>
      </w:pPr>
      <w:r w:rsidRPr="000D24C1">
        <w:rPr>
          <w:rFonts w:asciiTheme="minorHAnsi" w:hAnsiTheme="minorHAnsi" w:cstheme="minorHAnsi"/>
          <w:b/>
          <w:bCs/>
          <w:sz w:val="21"/>
          <w:szCs w:val="21"/>
        </w:rPr>
        <w:t xml:space="preserve">2. </w:t>
      </w:r>
      <w:r w:rsidRPr="000D24C1">
        <w:rPr>
          <w:rFonts w:asciiTheme="minorHAnsi" w:hAnsiTheme="minorHAnsi" w:cstheme="minorHAnsi"/>
          <w:sz w:val="21"/>
          <w:szCs w:val="21"/>
        </w:rPr>
        <w:t>The system compares aggregated actual spend against the configured budget threshold for each project/service.</w:t>
      </w:r>
    </w:p>
    <w:p w14:paraId="652520F1" w14:textId="77777777" w:rsidR="00CF5288" w:rsidRPr="000D24C1" w:rsidRDefault="00000000">
      <w:pPr>
        <w:spacing w:after="60"/>
        <w:ind w:left="360" w:hanging="260"/>
        <w:rPr>
          <w:rFonts w:asciiTheme="minorHAnsi" w:hAnsiTheme="minorHAnsi" w:cstheme="minorHAnsi"/>
        </w:rPr>
      </w:pPr>
      <w:r w:rsidRPr="000D24C1">
        <w:rPr>
          <w:rFonts w:asciiTheme="minorHAnsi" w:hAnsiTheme="minorHAnsi" w:cstheme="minorHAnsi"/>
          <w:b/>
          <w:bCs/>
          <w:sz w:val="21"/>
          <w:szCs w:val="21"/>
        </w:rPr>
        <w:t xml:space="preserve">3. </w:t>
      </w:r>
      <w:r w:rsidRPr="000D24C1">
        <w:rPr>
          <w:rFonts w:asciiTheme="minorHAnsi" w:hAnsiTheme="minorHAnsi" w:cstheme="minorHAnsi"/>
          <w:sz w:val="21"/>
          <w:szCs w:val="21"/>
        </w:rPr>
        <w:t>The system detects that actual spend has exceeded the configured threshold for a given project.</w:t>
      </w:r>
    </w:p>
    <w:p w14:paraId="5C6DA746" w14:textId="77777777" w:rsidR="00CF5288" w:rsidRPr="000D24C1" w:rsidRDefault="00000000">
      <w:pPr>
        <w:spacing w:after="60"/>
        <w:ind w:left="360" w:hanging="260"/>
        <w:rPr>
          <w:rFonts w:asciiTheme="minorHAnsi" w:hAnsiTheme="minorHAnsi" w:cstheme="minorHAnsi"/>
        </w:rPr>
      </w:pPr>
      <w:r w:rsidRPr="000D24C1">
        <w:rPr>
          <w:rFonts w:asciiTheme="minorHAnsi" w:hAnsiTheme="minorHAnsi" w:cstheme="minorHAnsi"/>
          <w:b/>
          <w:bCs/>
          <w:sz w:val="21"/>
          <w:szCs w:val="21"/>
        </w:rPr>
        <w:t xml:space="preserve">4. </w:t>
      </w:r>
      <w:r w:rsidRPr="000D24C1">
        <w:rPr>
          <w:rFonts w:asciiTheme="minorHAnsi" w:hAnsiTheme="minorHAnsi" w:cstheme="minorHAnsi"/>
          <w:sz w:val="21"/>
          <w:szCs w:val="21"/>
        </w:rPr>
        <w:t>The system generates a budget breach alert containing the project name, threshold amount, actual spend, and percentage overage.</w:t>
      </w:r>
    </w:p>
    <w:p w14:paraId="75B70D94" w14:textId="77777777" w:rsidR="00CF5288" w:rsidRPr="000D24C1" w:rsidRDefault="00000000">
      <w:pPr>
        <w:spacing w:after="60"/>
        <w:ind w:left="360" w:hanging="260"/>
        <w:rPr>
          <w:rFonts w:asciiTheme="minorHAnsi" w:hAnsiTheme="minorHAnsi" w:cstheme="minorHAnsi"/>
        </w:rPr>
      </w:pPr>
      <w:r w:rsidRPr="000D24C1">
        <w:rPr>
          <w:rFonts w:asciiTheme="minorHAnsi" w:hAnsiTheme="minorHAnsi" w:cstheme="minorHAnsi"/>
          <w:b/>
          <w:bCs/>
          <w:sz w:val="21"/>
          <w:szCs w:val="21"/>
        </w:rPr>
        <w:t xml:space="preserve">5. </w:t>
      </w:r>
      <w:r w:rsidRPr="000D24C1">
        <w:rPr>
          <w:rFonts w:asciiTheme="minorHAnsi" w:hAnsiTheme="minorHAnsi" w:cstheme="minorHAnsi"/>
          <w:sz w:val="21"/>
          <w:szCs w:val="21"/>
        </w:rPr>
        <w:t>The system dispatches the alert via email and/or SMS to the assigned Cloud Administrator and FinOps Analyst.</w:t>
      </w:r>
    </w:p>
    <w:p w14:paraId="0A90EF37" w14:textId="77777777" w:rsidR="00CF5288" w:rsidRPr="000D24C1" w:rsidRDefault="00000000">
      <w:pPr>
        <w:spacing w:after="60"/>
        <w:ind w:left="360" w:hanging="260"/>
        <w:rPr>
          <w:rFonts w:asciiTheme="minorHAnsi" w:hAnsiTheme="minorHAnsi" w:cstheme="minorHAnsi"/>
        </w:rPr>
      </w:pPr>
      <w:r w:rsidRPr="000D24C1">
        <w:rPr>
          <w:rFonts w:asciiTheme="minorHAnsi" w:hAnsiTheme="minorHAnsi" w:cstheme="minorHAnsi"/>
          <w:b/>
          <w:bCs/>
          <w:sz w:val="21"/>
          <w:szCs w:val="21"/>
        </w:rPr>
        <w:t xml:space="preserve">6. </w:t>
      </w:r>
      <w:r w:rsidRPr="000D24C1">
        <w:rPr>
          <w:rFonts w:asciiTheme="minorHAnsi" w:hAnsiTheme="minorHAnsi" w:cstheme="minorHAnsi"/>
          <w:sz w:val="21"/>
          <w:szCs w:val="21"/>
        </w:rPr>
        <w:t>The Cloud Administrator receives the notification and reviews the breach details on the cost dashboard.</w:t>
      </w:r>
    </w:p>
    <w:p w14:paraId="7535BB9D" w14:textId="77777777" w:rsidR="00CF5288" w:rsidRPr="000D24C1" w:rsidRDefault="00000000">
      <w:pPr>
        <w:spacing w:after="60"/>
        <w:ind w:left="360" w:hanging="260"/>
        <w:rPr>
          <w:rFonts w:asciiTheme="minorHAnsi" w:hAnsiTheme="minorHAnsi" w:cstheme="minorHAnsi"/>
        </w:rPr>
      </w:pPr>
      <w:r w:rsidRPr="000D24C1">
        <w:rPr>
          <w:rFonts w:asciiTheme="minorHAnsi" w:hAnsiTheme="minorHAnsi" w:cstheme="minorHAnsi"/>
          <w:b/>
          <w:bCs/>
          <w:sz w:val="21"/>
          <w:szCs w:val="21"/>
        </w:rPr>
        <w:t xml:space="preserve">7. </w:t>
      </w:r>
      <w:r w:rsidRPr="000D24C1">
        <w:rPr>
          <w:rFonts w:asciiTheme="minorHAnsi" w:hAnsiTheme="minorHAnsi" w:cstheme="minorHAnsi"/>
          <w:sz w:val="21"/>
          <w:szCs w:val="21"/>
        </w:rPr>
        <w:t>The Cloud Administrator acknowledges the alert; the system logs the acknowledgment with a timestamp, and the use case ends successfully.</w:t>
      </w:r>
    </w:p>
    <w:p w14:paraId="296B5D70" w14:textId="57F858F2" w:rsidR="00CF5288" w:rsidRPr="000D24C1" w:rsidRDefault="00000000">
      <w:pPr>
        <w:pStyle w:val="Heading3"/>
        <w:spacing w:before="240" w:after="120"/>
        <w:rPr>
          <w:rFonts w:asciiTheme="minorHAnsi" w:hAnsiTheme="minorHAnsi" w:cstheme="minorHAnsi"/>
          <w:color w:val="auto"/>
        </w:rPr>
      </w:pPr>
      <w:r w:rsidRPr="000D24C1">
        <w:rPr>
          <w:rFonts w:asciiTheme="minorHAnsi" w:hAnsiTheme="minorHAnsi" w:cstheme="minorHAnsi"/>
          <w:color w:val="auto"/>
        </w:rPr>
        <w:t xml:space="preserve">Alternate Flow </w:t>
      </w:r>
      <w:r w:rsidR="00C548D3">
        <w:rPr>
          <w:rFonts w:asciiTheme="minorHAnsi" w:hAnsiTheme="minorHAnsi" w:cstheme="minorHAnsi"/>
          <w:color w:val="auto"/>
        </w:rPr>
        <w:t>-</w:t>
      </w:r>
      <w:r w:rsidRPr="000D24C1">
        <w:rPr>
          <w:rFonts w:asciiTheme="minorHAnsi" w:hAnsiTheme="minorHAnsi" w:cstheme="minorHAnsi"/>
          <w:color w:val="auto"/>
        </w:rPr>
        <w:t xml:space="preserve"> Notification Delivery Failure</w:t>
      </w:r>
    </w:p>
    <w:p w14:paraId="16EC5EA4" w14:textId="77777777" w:rsidR="00CF5288" w:rsidRPr="000D24C1" w:rsidRDefault="00000000">
      <w:pPr>
        <w:spacing w:after="120"/>
        <w:rPr>
          <w:rFonts w:asciiTheme="minorHAnsi" w:hAnsiTheme="minorHAnsi" w:cstheme="minorHAnsi"/>
        </w:rPr>
      </w:pPr>
      <w:r w:rsidRPr="000D24C1">
        <w:rPr>
          <w:rFonts w:asciiTheme="minorHAnsi" w:hAnsiTheme="minorHAnsi" w:cstheme="minorHAnsi"/>
          <w:sz w:val="21"/>
          <w:szCs w:val="21"/>
        </w:rPr>
        <w:t>Branches from step 5 of the main success scenario.</w:t>
      </w:r>
    </w:p>
    <w:p w14:paraId="04F781F6" w14:textId="602B3154" w:rsidR="00CF5288" w:rsidRPr="000D24C1" w:rsidRDefault="002505C3">
      <w:pPr>
        <w:spacing w:after="60"/>
        <w:ind w:left="720" w:hanging="2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sz w:val="21"/>
          <w:szCs w:val="21"/>
        </w:rPr>
        <w:t>1.</w:t>
      </w:r>
      <w:r w:rsidR="00000000" w:rsidRPr="000D24C1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="00000000" w:rsidRPr="000D24C1">
        <w:rPr>
          <w:rFonts w:asciiTheme="minorHAnsi" w:hAnsiTheme="minorHAnsi" w:cstheme="minorHAnsi"/>
          <w:sz w:val="21"/>
          <w:szCs w:val="21"/>
        </w:rPr>
        <w:t>The notification service fails to deliver the email or SMS (e.g., invalid contact address, network or provider outage).</w:t>
      </w:r>
    </w:p>
    <w:p w14:paraId="26417FAE" w14:textId="3B741FC7" w:rsidR="00CF5288" w:rsidRPr="000D24C1" w:rsidRDefault="002505C3">
      <w:pPr>
        <w:spacing w:after="60"/>
        <w:ind w:left="720" w:hanging="2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sz w:val="21"/>
          <w:szCs w:val="21"/>
        </w:rPr>
        <w:lastRenderedPageBreak/>
        <w:t>2</w:t>
      </w:r>
      <w:r w:rsidR="00000000" w:rsidRPr="000D24C1">
        <w:rPr>
          <w:rFonts w:asciiTheme="minorHAnsi" w:hAnsiTheme="minorHAnsi" w:cstheme="minorHAnsi"/>
          <w:b/>
          <w:bCs/>
          <w:sz w:val="21"/>
          <w:szCs w:val="21"/>
        </w:rPr>
        <w:t xml:space="preserve">. </w:t>
      </w:r>
      <w:r w:rsidR="00000000" w:rsidRPr="000D24C1">
        <w:rPr>
          <w:rFonts w:asciiTheme="minorHAnsi" w:hAnsiTheme="minorHAnsi" w:cstheme="minorHAnsi"/>
          <w:sz w:val="21"/>
          <w:szCs w:val="21"/>
        </w:rPr>
        <w:t>The system logs the delivery failure with an error code and timestamp.</w:t>
      </w:r>
    </w:p>
    <w:p w14:paraId="39CBEA5D" w14:textId="33010CE8" w:rsidR="00CF5288" w:rsidRPr="000D24C1" w:rsidRDefault="002505C3">
      <w:pPr>
        <w:spacing w:after="60"/>
        <w:ind w:left="720" w:hanging="2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sz w:val="21"/>
          <w:szCs w:val="21"/>
        </w:rPr>
        <w:t>3</w:t>
      </w:r>
      <w:r w:rsidR="00000000" w:rsidRPr="000D24C1">
        <w:rPr>
          <w:rFonts w:asciiTheme="minorHAnsi" w:hAnsiTheme="minorHAnsi" w:cstheme="minorHAnsi"/>
          <w:b/>
          <w:bCs/>
          <w:sz w:val="21"/>
          <w:szCs w:val="21"/>
        </w:rPr>
        <w:t xml:space="preserve">. </w:t>
      </w:r>
      <w:r w:rsidR="00000000" w:rsidRPr="000D24C1">
        <w:rPr>
          <w:rFonts w:asciiTheme="minorHAnsi" w:hAnsiTheme="minorHAnsi" w:cstheme="minorHAnsi"/>
          <w:sz w:val="21"/>
          <w:szCs w:val="21"/>
        </w:rPr>
        <w:t>The system automatically retries delivery up to 3 times at 5-minute intervals.</w:t>
      </w:r>
    </w:p>
    <w:p w14:paraId="5EEAB572" w14:textId="2327C2B4" w:rsidR="00CF5288" w:rsidRPr="000D24C1" w:rsidRDefault="002505C3">
      <w:pPr>
        <w:spacing w:after="60"/>
        <w:ind w:left="720" w:hanging="2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sz w:val="21"/>
          <w:szCs w:val="21"/>
        </w:rPr>
        <w:t>4</w:t>
      </w:r>
      <w:r w:rsidR="00000000" w:rsidRPr="000D24C1">
        <w:rPr>
          <w:rFonts w:asciiTheme="minorHAnsi" w:hAnsiTheme="minorHAnsi" w:cstheme="minorHAnsi"/>
          <w:b/>
          <w:bCs/>
          <w:sz w:val="21"/>
          <w:szCs w:val="21"/>
        </w:rPr>
        <w:t xml:space="preserve">. </w:t>
      </w:r>
      <w:r w:rsidR="00000000" w:rsidRPr="000D24C1">
        <w:rPr>
          <w:rFonts w:asciiTheme="minorHAnsi" w:hAnsiTheme="minorHAnsi" w:cstheme="minorHAnsi"/>
          <w:sz w:val="21"/>
          <w:szCs w:val="21"/>
        </w:rPr>
        <w:t>If all retries fail, the system marks the alert as “Undelivered” and surfaces it prominently on the Cloud Administrator's dashboard for manual review.</w:t>
      </w:r>
    </w:p>
    <w:p w14:paraId="6D3FB113" w14:textId="1405E579" w:rsidR="00CF5288" w:rsidRPr="000D24C1" w:rsidRDefault="00000000">
      <w:pPr>
        <w:spacing w:after="60"/>
        <w:ind w:left="720" w:hanging="260"/>
        <w:rPr>
          <w:rFonts w:asciiTheme="minorHAnsi" w:hAnsiTheme="minorHAnsi" w:cstheme="minorHAnsi"/>
        </w:rPr>
      </w:pPr>
      <w:r w:rsidRPr="000D24C1">
        <w:rPr>
          <w:rFonts w:asciiTheme="minorHAnsi" w:hAnsiTheme="minorHAnsi" w:cstheme="minorHAnsi"/>
          <w:b/>
          <w:bCs/>
          <w:sz w:val="21"/>
          <w:szCs w:val="21"/>
        </w:rPr>
        <w:t xml:space="preserve">5. </w:t>
      </w:r>
      <w:r w:rsidRPr="000D24C1">
        <w:rPr>
          <w:rFonts w:asciiTheme="minorHAnsi" w:hAnsiTheme="minorHAnsi" w:cstheme="minorHAnsi"/>
          <w:sz w:val="21"/>
          <w:szCs w:val="21"/>
        </w:rPr>
        <w:t>The use case resumes at step 6, with the Cloud Administrator reviewing the alert via the dashboard instead of the external channel.</w:t>
      </w:r>
    </w:p>
    <w:p w14:paraId="3F791DDD" w14:textId="5CDEEC21" w:rsidR="00CF5288" w:rsidRPr="000D24C1" w:rsidRDefault="00000000">
      <w:pPr>
        <w:pStyle w:val="Heading3"/>
        <w:spacing w:before="240" w:after="120"/>
        <w:rPr>
          <w:rFonts w:asciiTheme="minorHAnsi" w:hAnsiTheme="minorHAnsi" w:cstheme="minorHAnsi"/>
          <w:color w:val="auto"/>
        </w:rPr>
      </w:pPr>
      <w:r w:rsidRPr="000D24C1">
        <w:rPr>
          <w:rFonts w:asciiTheme="minorHAnsi" w:hAnsiTheme="minorHAnsi" w:cstheme="minorHAnsi"/>
          <w:color w:val="auto"/>
        </w:rPr>
        <w:t xml:space="preserve">Alternate Flow </w:t>
      </w:r>
      <w:r w:rsidR="00C548D3">
        <w:rPr>
          <w:rFonts w:asciiTheme="minorHAnsi" w:hAnsiTheme="minorHAnsi" w:cstheme="minorHAnsi"/>
          <w:color w:val="auto"/>
        </w:rPr>
        <w:t>-</w:t>
      </w:r>
      <w:r w:rsidRPr="000D24C1">
        <w:rPr>
          <w:rFonts w:asciiTheme="minorHAnsi" w:hAnsiTheme="minorHAnsi" w:cstheme="minorHAnsi"/>
          <w:color w:val="auto"/>
        </w:rPr>
        <w:t xml:space="preserve"> No Budget Threshold Configured</w:t>
      </w:r>
    </w:p>
    <w:p w14:paraId="247B79C9" w14:textId="77777777" w:rsidR="00CF5288" w:rsidRPr="000D24C1" w:rsidRDefault="00000000">
      <w:pPr>
        <w:spacing w:after="120"/>
        <w:rPr>
          <w:rFonts w:asciiTheme="minorHAnsi" w:hAnsiTheme="minorHAnsi" w:cstheme="minorHAnsi"/>
        </w:rPr>
      </w:pPr>
      <w:r w:rsidRPr="000D24C1">
        <w:rPr>
          <w:rFonts w:asciiTheme="minorHAnsi" w:hAnsiTheme="minorHAnsi" w:cstheme="minorHAnsi"/>
          <w:sz w:val="21"/>
          <w:szCs w:val="21"/>
        </w:rPr>
        <w:t>Branches from step 2 of the main success scenario.</w:t>
      </w:r>
    </w:p>
    <w:p w14:paraId="2FFBC6F9" w14:textId="4CA53945" w:rsidR="00CF5288" w:rsidRPr="000D24C1" w:rsidRDefault="002505C3">
      <w:pPr>
        <w:spacing w:after="60"/>
        <w:ind w:left="720" w:hanging="2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sz w:val="21"/>
          <w:szCs w:val="21"/>
        </w:rPr>
        <w:t>1</w:t>
      </w:r>
      <w:r w:rsidR="00000000" w:rsidRPr="000D24C1">
        <w:rPr>
          <w:rFonts w:asciiTheme="minorHAnsi" w:hAnsiTheme="minorHAnsi" w:cstheme="minorHAnsi"/>
          <w:b/>
          <w:bCs/>
          <w:sz w:val="21"/>
          <w:szCs w:val="21"/>
        </w:rPr>
        <w:t xml:space="preserve">. </w:t>
      </w:r>
      <w:r w:rsidR="00000000" w:rsidRPr="000D24C1">
        <w:rPr>
          <w:rFonts w:asciiTheme="minorHAnsi" w:hAnsiTheme="minorHAnsi" w:cstheme="minorHAnsi"/>
          <w:sz w:val="21"/>
          <w:szCs w:val="21"/>
        </w:rPr>
        <w:t>The system finds that no budget threshold has been configured for the project/service being evaluated.</w:t>
      </w:r>
    </w:p>
    <w:p w14:paraId="690D05B6" w14:textId="1705DEDD" w:rsidR="00CF5288" w:rsidRPr="000D24C1" w:rsidRDefault="00000000">
      <w:pPr>
        <w:spacing w:after="60"/>
        <w:ind w:left="720" w:hanging="260"/>
        <w:rPr>
          <w:rFonts w:asciiTheme="minorHAnsi" w:hAnsiTheme="minorHAnsi" w:cstheme="minorHAnsi"/>
        </w:rPr>
      </w:pPr>
      <w:r w:rsidRPr="000D24C1">
        <w:rPr>
          <w:rFonts w:asciiTheme="minorHAnsi" w:hAnsiTheme="minorHAnsi" w:cstheme="minorHAnsi"/>
          <w:b/>
          <w:bCs/>
          <w:sz w:val="21"/>
          <w:szCs w:val="21"/>
        </w:rPr>
        <w:t xml:space="preserve">2. </w:t>
      </w:r>
      <w:r w:rsidRPr="000D24C1">
        <w:rPr>
          <w:rFonts w:asciiTheme="minorHAnsi" w:hAnsiTheme="minorHAnsi" w:cstheme="minorHAnsi"/>
          <w:sz w:val="21"/>
          <w:szCs w:val="21"/>
        </w:rPr>
        <w:t>The system skips breach evaluation for that project and logs it as “Unmonitored.”</w:t>
      </w:r>
    </w:p>
    <w:p w14:paraId="33A10D5B" w14:textId="22B631C9" w:rsidR="00CF5288" w:rsidRPr="000D24C1" w:rsidRDefault="002505C3">
      <w:pPr>
        <w:spacing w:after="60"/>
        <w:ind w:left="720" w:hanging="2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sz w:val="21"/>
          <w:szCs w:val="21"/>
        </w:rPr>
        <w:t>3</w:t>
      </w:r>
      <w:r w:rsidR="00000000" w:rsidRPr="000D24C1">
        <w:rPr>
          <w:rFonts w:asciiTheme="minorHAnsi" w:hAnsiTheme="minorHAnsi" w:cstheme="minorHAnsi"/>
          <w:b/>
          <w:bCs/>
          <w:sz w:val="21"/>
          <w:szCs w:val="21"/>
        </w:rPr>
        <w:t xml:space="preserve">. </w:t>
      </w:r>
      <w:r w:rsidR="00000000" w:rsidRPr="000D24C1">
        <w:rPr>
          <w:rFonts w:asciiTheme="minorHAnsi" w:hAnsiTheme="minorHAnsi" w:cstheme="minorHAnsi"/>
          <w:sz w:val="21"/>
          <w:szCs w:val="21"/>
        </w:rPr>
        <w:t>The system flags the project on the dashboard, prompting the Cloud Administrator to configure a threshold.</w:t>
      </w:r>
    </w:p>
    <w:p w14:paraId="448A27A9" w14:textId="267BF256" w:rsidR="00CF5288" w:rsidRPr="000D24C1" w:rsidRDefault="002505C3">
      <w:pPr>
        <w:spacing w:after="60"/>
        <w:ind w:left="720" w:hanging="2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sz w:val="21"/>
          <w:szCs w:val="21"/>
        </w:rPr>
        <w:t>4</w:t>
      </w:r>
      <w:r w:rsidR="00000000" w:rsidRPr="000D24C1">
        <w:rPr>
          <w:rFonts w:asciiTheme="minorHAnsi" w:hAnsiTheme="minorHAnsi" w:cstheme="minorHAnsi"/>
          <w:b/>
          <w:bCs/>
          <w:sz w:val="21"/>
          <w:szCs w:val="21"/>
        </w:rPr>
        <w:t xml:space="preserve">. </w:t>
      </w:r>
      <w:r w:rsidR="00000000" w:rsidRPr="000D24C1">
        <w:rPr>
          <w:rFonts w:asciiTheme="minorHAnsi" w:hAnsiTheme="minorHAnsi" w:cstheme="minorHAnsi"/>
          <w:sz w:val="21"/>
          <w:szCs w:val="21"/>
        </w:rPr>
        <w:t>The use case ends without an alert being generated.</w:t>
      </w:r>
    </w:p>
    <w:sectPr w:rsidR="00CF5288" w:rsidRPr="000D24C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9652B"/>
    <w:multiLevelType w:val="hybridMultilevel"/>
    <w:tmpl w:val="43EABEEE"/>
    <w:lvl w:ilvl="0" w:tplc="299A8164">
      <w:start w:val="1"/>
      <w:numFmt w:val="bullet"/>
      <w:lvlText w:val="●"/>
      <w:lvlJc w:val="left"/>
      <w:pPr>
        <w:ind w:left="720" w:hanging="360"/>
      </w:pPr>
    </w:lvl>
    <w:lvl w:ilvl="1" w:tplc="5BBC9A1C">
      <w:start w:val="1"/>
      <w:numFmt w:val="bullet"/>
      <w:lvlText w:val="○"/>
      <w:lvlJc w:val="left"/>
      <w:pPr>
        <w:ind w:left="1440" w:hanging="360"/>
      </w:pPr>
    </w:lvl>
    <w:lvl w:ilvl="2" w:tplc="8C32C636">
      <w:start w:val="1"/>
      <w:numFmt w:val="bullet"/>
      <w:lvlText w:val="■"/>
      <w:lvlJc w:val="left"/>
      <w:pPr>
        <w:ind w:left="2160" w:hanging="360"/>
      </w:pPr>
    </w:lvl>
    <w:lvl w:ilvl="3" w:tplc="78421BD0">
      <w:start w:val="1"/>
      <w:numFmt w:val="bullet"/>
      <w:lvlText w:val="●"/>
      <w:lvlJc w:val="left"/>
      <w:pPr>
        <w:ind w:left="2880" w:hanging="360"/>
      </w:pPr>
    </w:lvl>
    <w:lvl w:ilvl="4" w:tplc="69F07EB0">
      <w:start w:val="1"/>
      <w:numFmt w:val="bullet"/>
      <w:lvlText w:val="○"/>
      <w:lvlJc w:val="left"/>
      <w:pPr>
        <w:ind w:left="3600" w:hanging="360"/>
      </w:pPr>
    </w:lvl>
    <w:lvl w:ilvl="5" w:tplc="C304FA2A">
      <w:start w:val="1"/>
      <w:numFmt w:val="bullet"/>
      <w:lvlText w:val="■"/>
      <w:lvlJc w:val="left"/>
      <w:pPr>
        <w:ind w:left="4320" w:hanging="360"/>
      </w:pPr>
    </w:lvl>
    <w:lvl w:ilvl="6" w:tplc="AAA2AC16">
      <w:start w:val="1"/>
      <w:numFmt w:val="bullet"/>
      <w:lvlText w:val="●"/>
      <w:lvlJc w:val="left"/>
      <w:pPr>
        <w:ind w:left="5040" w:hanging="360"/>
      </w:pPr>
    </w:lvl>
    <w:lvl w:ilvl="7" w:tplc="761C6B70">
      <w:start w:val="1"/>
      <w:numFmt w:val="bullet"/>
      <w:lvlText w:val="●"/>
      <w:lvlJc w:val="left"/>
      <w:pPr>
        <w:ind w:left="5760" w:hanging="360"/>
      </w:pPr>
    </w:lvl>
    <w:lvl w:ilvl="8" w:tplc="108E8066">
      <w:start w:val="1"/>
      <w:numFmt w:val="bullet"/>
      <w:lvlText w:val="●"/>
      <w:lvlJc w:val="left"/>
      <w:pPr>
        <w:ind w:left="6480" w:hanging="360"/>
      </w:pPr>
    </w:lvl>
  </w:abstractNum>
  <w:num w:numId="1" w16cid:durableId="3878041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288"/>
    <w:rsid w:val="00000DF0"/>
    <w:rsid w:val="000A3229"/>
    <w:rsid w:val="000D24C1"/>
    <w:rsid w:val="002505C3"/>
    <w:rsid w:val="003C1727"/>
    <w:rsid w:val="004B0AA3"/>
    <w:rsid w:val="00524325"/>
    <w:rsid w:val="00C548D3"/>
    <w:rsid w:val="00CF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A185C"/>
  <w15:docId w15:val="{4B21AB2E-4415-4015-B5F4-075A87F0E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4</Pages>
  <Words>983</Words>
  <Characters>5607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RR S&amp;H 2nd Sem P5 ASHVIN RONALD LOBO</cp:lastModifiedBy>
  <cp:revision>5</cp:revision>
  <dcterms:created xsi:type="dcterms:W3CDTF">2026-08-21T04:16:00Z</dcterms:created>
  <dcterms:modified xsi:type="dcterms:W3CDTF">2026-08-21T10:10:00Z</dcterms:modified>
</cp:coreProperties>
</file>