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4"/>
        </w:pBdr>
        <w:spacing w:after="60"/>
      </w:pPr>
      <w:r>
        <w:rPr>
          <w:rFonts w:ascii="Arial" w:cs="Arial" w:eastAsia="Arial" w:hAnsi="Arial"/>
          <w:b/>
          <w:bCs/>
          <w:color w:val="1F4E79"/>
          <w:sz w:val="40"/>
          <w:szCs w:val="40"/>
        </w:rPr>
        <w:t xml:space="preserve">Revision &amp; Corrections Dossier</w:t>
      </w:r>
    </w:p>
    <w:p>
      <w:pPr>
        <w:spacing w:after="40"/>
      </w:pPr>
      <w:r>
        <w:rPr>
          <w:b/>
          <w:bCs/>
          <w:sz w:val="24"/>
          <w:szCs w:val="24"/>
        </w:rPr>
        <w:t xml:space="preserve">Replay-Gated Cascade Consolidation (Warwatkar, BICA 2026 submission)</w:t>
      </w:r>
    </w:p>
    <w:p>
      <w:pPr>
        <w:spacing w:after="200"/>
      </w:pPr>
      <w:r>
        <w:rPr>
          <w:i/>
          <w:iCs/>
          <w:color w:val="595959"/>
          <w:sz w:val="20"/>
          <w:szCs w:val="20"/>
        </w:rPr>
        <w:t xml:space="preserve">A weakness-by-weakness action plan to maximise scientific validity and publication odds. Reviewer-style assessment with concrete fixes, rewritten claims, a statistical re-analysis plan, and a realistic submission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9E2F3" w:val="clear"/>
            <w:tcMar>
              <w:top w:type="dxa" w:w="120"/>
              <w:left w:type="dxa" w:w="160"/>
              <w:bottom w:type="dxa" w:w="120"/>
              <w:right w:type="dxa" w:w="160"/>
            </w:tcMar>
          </w:tcPr>
          <w:p>
            <w:pPr>
              <w:spacing w:after="60"/>
            </w:pPr>
            <w:r>
              <w:rPr>
                <w:b/>
                <w:bCs/>
                <w:color w:val="1F4E79"/>
              </w:rPr>
              <w:t xml:space="preserve">Read this first — the honest bottom line</w:t>
            </w:r>
          </w:p>
          <w:p>
            <w:pPr>
              <w:spacing w:after="60"/>
            </w:pPr>
            <w:r>
              <w:rPr>
                <w:sz w:val="20"/>
                <w:szCs w:val="20"/>
              </w:rPr>
              <w:t xml:space="preserve">This is a well-written, carefully designed modeling study. It is also a single-author, pure-simulation paper on a 1000-neuron toy network with a hand-designed schema core. That profile does not match Nature Neuroscience, and aiming there would burn months on near-certain desk rejection. The fixes below will not turn it into a Nature paper — no amount of editing will, without biological data or a new mechanism. What they WILL do is turn it into a strong, defensible paper that can land in a respected specialised venue. That is a real win worth pursuing.</w:t>
            </w:r>
          </w:p>
          <w:p>
            <w:r>
              <w:rPr>
                <w:b/>
                <w:bCs/>
                <w:sz w:val="20"/>
                <w:szCs w:val="20"/>
              </w:rPr>
              <w:t xml:space="preserve">Realistic target after revision: </w:t>
            </w:r>
            <w:r>
              <w:rPr>
                <w:sz w:val="20"/>
                <w:szCs w:val="20"/>
              </w:rPr>
              <w:t xml:space="preserve">Cognitive Systems Research / Frontiers in Computational Neuroscience / Biological Cybernetics, with PLOS Computational Biology as a stretch and BICA 2026 as the safe home.</w:t>
            </w:r>
          </w:p>
        </w:tc>
      </w:tr>
    </w:tbl>
    <w:p>
      <w:pPr>
        <w:spacing w:after="120" w:line="276"/>
      </w:pPr>
      <w:r>
        <w:t xml:space="preserv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Master fix-list: every weakness and its solution</w:t>
      </w:r>
    </w:p>
    <w:p>
      <w:pPr>
        <w:spacing w:after="120" w:line="276"/>
      </w:pPr>
      <w:r>
        <w:t xml:space="preserve">Ordered most-serious to least-serious, matching the reviewer ranking. P1 items are blockers — they must be fixed before any journal submission. P2 items strongly improve odds. P3 items are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100"/>
        <w:gridCol w:w="4150"/>
        <w:gridCol w:w="1550"/>
      </w:tblGrid>
      <w:tr>
        <w:trPr>
          <w:tblHeader/>
        </w:trPr>
        <w:tc>
          <w:tcPr>
            <w:tcW w:type="dxa" w:w="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Pri.</w:t>
            </w:r>
          </w:p>
        </w:tc>
        <w:tc>
          <w:tcPr>
            <w:tcW w:type="dxa" w:w="3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Weakness</w:t>
            </w:r>
          </w:p>
        </w:tc>
        <w:tc>
          <w:tcPr>
            <w:tcW w:type="dxa" w:w="415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Concrete solution</w:t>
            </w:r>
          </w:p>
        </w:tc>
        <w:tc>
          <w:tcPr>
            <w:tcW w:type="dxa" w:w="155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Effort</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9C2A2A"/>
              </w:rPr>
              <w:t xml:space="preserve">P1</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Headline effect sizes (d=25.78, p&lt;1e-15) read as low simulation variance, not importance.</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Stop foregrounding d and astronomical p-values. Report effect direction + raw means + seed-level distributions. Add a sentence stating explicitly that large d reflects low cross-seed variance in a near-deterministic simulation and is therefore not a measure of biological effect magnitude. Move stats to a supplementary table.</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Low</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9C2A2A"/>
              </w:rPr>
              <w:t xml:space="preserve">P1</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Pseudoreplication: r=0.981 / r=0.939 from 12 nested points (4 memories x 3 seeds).</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Re-analyse with a mixed-effects model: retention ~ replay_count + (1|seed) + (1|memory_order). Report fixed-effect estimate with CI. Quote the effective n (~3) honestly. Drop the naive Pearson p-values. Alternatively report a within-seed rank correlation aggregated across seeds.</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Med</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9C2A2A"/>
              </w:rPr>
              <w:t xml:space="preserve">P1</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Central causal claim (Task 10.5 boost-failure) rests on n=3, partly single runs, no error bars.</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Re-run CONTROL / BOOST_MEM3 / SUPPRESS_MEM0 across &gt;=20 seeds. Report full distributions, a condition x encoding-order interaction test, and a dose-response curve for suppression. Only then keep the 'amplifier not inscriber' framing.</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High</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9C2A2A"/>
              </w:rPr>
              <w:t xml:space="preserve">P1</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'Amplification not inscription' contradicts literature showing replay strengthens weak memories.</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Add a paragraph engaging this literature directly (weak-memory prioritisation in replay). Reframe your result as model-specific and contingent on the encoding-seed threshold, and design the new boost-with-adequate-seed experiment (Sec. 3) to disambiguate.</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Low</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B8860B"/>
              </w:rPr>
              <w:t xml:space="preserve">P2</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Schema core is hand-designed; 'structural frequency advantage' is true by construction.</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Either (a) add a version where overlap emerges from correlated input statistics, or (b) explicitly reframe the core as an imposed manipulation used to ISOLATE the frequency mechanism, not as evidence that schemas form. Remove 'schema formation' language unless you do (a).</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Med/High</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B8860B"/>
              </w:rPr>
              <w:t xml:space="preserve">P2</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Necessity/sufficiency logic conflated with exclusivity ('the causal substrate').</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Restate precisely: replay is necessary (within model); W_slow[cc]+[uc] is sufficient for the readout; W_slow[cc] is necessary. Explicitly disclaim exclusivity. Change title accordingly (Sec. 5).</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Low</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B8860B"/>
              </w:rPr>
              <w:t xml:space="preserve">P2</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1.3x MB boost and gates (gamma=0.65, coherence/STDP thresholds) are unmotivated free parameters.</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Add a parameter-sensitivity supplement sweeping each hand-set constant +/-50%. Show the core results survive. Justify gamma and the gate values from cited biophysics or label them clearly as exploratory.</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Med</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B8860B"/>
              </w:rPr>
              <w:t xml:space="preserve">P2</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isyn_score is an unvalidated proxy for retention.</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Add a behaviour-style readout: cued-recall accuracy and pattern-completion accuracy vs cue fraction. Show isyn_score correlates with it. Report both.</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Med</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B8860B"/>
              </w:rPr>
              <w:t xml:space="preserve">P2</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'Attractor hub' asserted without attractor diagnostics.</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Add basin-of-attraction analysis: completion accuracy as a function of cue-degradation, evidence of stable fixed points, and spontaneous completion from partial cues. Without this, soften to 'recurrent hub consistent with pattern completion'.</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Med</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2E6B2E"/>
              </w:rPr>
              <w:t xml:space="preserve">P3</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Narrow operating window (n_mem in {2,4}, core in {10,20}); probe breaks under saturation.</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Design a saturation-robust probe (e.g. normalise by W_MAX or use a rate-based recall measure) and report at least a partial extension to n_mem=6. Or scope the abstract to the validated window explicitly.</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Med</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2E6B2E"/>
              </w:rPr>
              <w:t xml:space="preserve">P3</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No null/alternative model comparison.</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Add a single-timescale control model that SHOULD fail, plus a shuffled-replay control. Demonstrate the two-timescale architecture is necessary, not decorative.</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Med</w:t>
            </w:r>
          </w:p>
        </w:tc>
      </w:tr>
      <w:tr>
        <w:tc>
          <w:tcPr>
            <w:tcW w:type="dxa" w:w="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2E6B2E"/>
              </w:rPr>
              <w:t xml:space="preserve">P3</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Order/recency confounded with encoding strength in the boost-failure account.</w:t>
            </w:r>
          </w:p>
        </w:tc>
        <w:tc>
          <w:tcPr>
            <w:tcW w:type="dxa" w:w="41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Add randomised-encoding-order runs to break the confound, as flagged in your own Alternative Interpretations.</w:t>
            </w:r>
          </w:p>
        </w:tc>
        <w:tc>
          <w:tcPr>
            <w:tcW w:type="dxa" w:w="1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Low</w:t>
            </w:r>
          </w:p>
        </w:tc>
      </w:tr>
    </w:tbl>
    <w:p>
      <w:r>
        <w:br w:type="page"/>
      </w:r>
    </w:p>
    <w:p>
      <w:pPr>
        <w:pStyle w:val="Heading1"/>
      </w:pPr>
      <w:r>
        <w:t xml:space="preserve">2. Statistical re-analysis plan (the single highest-value fix)</w:t>
      </w:r>
    </w:p>
    <w:p>
      <w:pPr>
        <w:spacing w:after="120" w:line="276"/>
      </w:pPr>
      <w:r>
        <w:t xml:space="preserve">More than any new experiment, fixing the statistics is what separates a desk-reject from a credible submission. Three concrete changes:</w:t>
      </w:r>
    </w:p>
    <w:p>
      <w:pPr>
        <w:pStyle w:val="Heading2"/>
      </w:pPr>
      <w:r>
        <w:t xml:space="preserve">2.1 Stop reporting effect sizes as if they were strengths</w:t>
      </w:r>
    </w:p>
    <w:p>
      <w:pPr>
        <w:spacing w:after="120" w:line="276"/>
      </w:pPr>
      <w:r>
        <w:t xml:space="preserve">In a near-deterministic simulation, Cohen's d scales inversely with cross-seed noise, not with the importance of the manipulation. A d of 26 means your seeds barely differ — expected for code — not that replay matters enormously. Replace prominent d / p reporting with:</w:t>
      </w:r>
    </w:p>
    <w:p>
      <w:pPr>
        <w:pStyle w:val="ListParagraph"/>
        <w:numPr>
          <w:ilvl w:val="0"/>
          <w:numId w:val="2"/>
        </w:numPr>
        <w:spacing w:after="60" w:line="276"/>
      </w:pPr>
      <w:r>
        <w:t xml:space="preserve">Raw condition means with seed-level scatter (show all 10 points).</w:t>
      </w:r>
    </w:p>
    <w:p>
      <w:pPr>
        <w:pStyle w:val="ListParagraph"/>
        <w:numPr>
          <w:ilvl w:val="0"/>
          <w:numId w:val="2"/>
        </w:numPr>
        <w:spacing w:after="60" w:line="276"/>
      </w:pPr>
      <w:r>
        <w:t xml:space="preserve">A one-line caveat: large standardised effect sizes here reflect low simulation variance and should not be read as biological effect magnitudes.</w:t>
      </w:r>
    </w:p>
    <w:p>
      <w:pPr>
        <w:pStyle w:val="ListParagraph"/>
        <w:numPr>
          <w:ilvl w:val="0"/>
          <w:numId w:val="2"/>
        </w:numPr>
        <w:spacing w:after="60" w:line="276"/>
      </w:pPr>
      <w:r>
        <w:t xml:space="preserve">Move t / d / p to a supplementary table; keep the narrative on direction and mechanism.</w:t>
      </w:r>
    </w:p>
    <w:p>
      <w:pPr>
        <w:pStyle w:val="Heading2"/>
      </w:pPr>
      <w:r>
        <w:t xml:space="preserve">2.2 Replace the pseudoreplicated correlations with a mixed-effects model</w:t>
      </w:r>
    </w:p>
    <w:p>
      <w:pPr>
        <w:spacing w:after="120" w:line="276"/>
      </w:pPr>
      <w:r>
        <w:t xml:space="preserve">The 12 per-memory points are nested within 3 seeds and share network state. Fit instead:</w:t>
      </w:r>
    </w:p>
    <w:p>
      <w:pPr>
        <w:shd w:fill="F2F2F2" w:val="clear"/>
        <w:spacing w:after="120" w:line="276"/>
      </w:pPr>
      <w:r>
        <w:rPr>
          <w:rFonts w:ascii="Consolas" w:cs="Consolas" w:eastAsia="Consolas" w:hAnsi="Consolas"/>
          <w:color w:val="1F4E79"/>
          <w:sz w:val="20"/>
          <w:szCs w:val="20"/>
        </w:rPr>
        <w:t xml:space="preserve">retention ~ replay_count + (1 | seed) + (1 | memory_order)</w:t>
      </w:r>
    </w:p>
    <w:p>
      <w:pPr>
        <w:spacing w:after="120" w:line="276"/>
      </w:pPr>
      <w:r>
        <w:t xml:space="preserve">Report the fixed-effect slope with its 95% CI, the marginal vs conditional R-squared, and state the effective sample size honestly. If you prefer a simpler route, compute a within-seed Spearman rho and aggregate across the three seeds, reporting the median and range rather than a single pooled r with a fake p-value.</w:t>
      </w:r>
    </w:p>
    <w:p>
      <w:pPr>
        <w:pStyle w:val="Heading2"/>
      </w:pPr>
      <w:r>
        <w:t xml:space="preserve">2.3 Power the causal experiment</w:t>
      </w:r>
    </w:p>
    <w:p>
      <w:pPr>
        <w:spacing w:after="120" w:line="276"/>
      </w:pPr>
      <w:r>
        <w:t xml:space="preserve">Task 10.5 is your flagship and your weakest evidence. Minimum acceptable version for review:</w:t>
      </w:r>
    </w:p>
    <w:p>
      <w:pPr>
        <w:pStyle w:val="ListParagraph"/>
        <w:numPr>
          <w:ilvl w:val="0"/>
          <w:numId w:val="3"/>
        </w:numPr>
        <w:spacing w:after="60" w:line="276"/>
      </w:pPr>
      <w:r>
        <w:t xml:space="preserve">Run CONTROL, BOOST_MEM3, SUPPRESS_MEM0 across at least 20 seeds (30 is better).</w:t>
      </w:r>
    </w:p>
    <w:p>
      <w:pPr>
        <w:pStyle w:val="ListParagraph"/>
        <w:numPr>
          <w:ilvl w:val="0"/>
          <w:numId w:val="3"/>
        </w:numPr>
        <w:spacing w:after="60" w:line="276"/>
      </w:pPr>
      <w:r>
        <w:t xml:space="preserve">Report per-condition distributions with error bars, not point means.</w:t>
      </w:r>
    </w:p>
    <w:p>
      <w:pPr>
        <w:pStyle w:val="ListParagraph"/>
        <w:numPr>
          <w:ilvl w:val="0"/>
          <w:numId w:val="3"/>
        </w:numPr>
        <w:spacing w:after="60" w:line="276"/>
      </w:pPr>
      <w:r>
        <w:t xml:space="preserve">Test the suppression dose-response (e.g. replay reduced to 75%, 50%, 25%, ~0% of baseline).</w:t>
      </w:r>
    </w:p>
    <w:p>
      <w:pPr>
        <w:pStyle w:val="ListParagraph"/>
        <w:numPr>
          <w:ilvl w:val="0"/>
          <w:numId w:val="3"/>
        </w:numPr>
        <w:spacing w:after="60" w:line="276"/>
      </w:pPr>
      <w:r>
        <w:t xml:space="preserve">Test a condition x encoding-order interaction so the boost-failure is not confounded with recency.</w:t>
      </w:r>
    </w:p>
    <w:p>
      <w:pPr>
        <w:pStyle w:val="ListParagraph"/>
        <w:numPr>
          <w:ilvl w:val="0"/>
          <w:numId w:val="3"/>
        </w:numPr>
        <w:spacing w:after="60" w:line="276"/>
      </w:pPr>
      <w:r>
        <w:t xml:space="preserve">Pre-register the analysis (you already say tasks were pre-registered — make the registration concrete and citable).</w:t>
      </w:r>
    </w:p>
    <w:p>
      <w:r>
        <w:br w:type="page"/>
      </w:r>
    </w:p>
    <w:p>
      <w:pPr>
        <w:pStyle w:val="Heading1"/>
      </w:pPr>
      <w:r>
        <w:t xml:space="preserve">3. New experiments that would most strengthen the paper</w:t>
      </w:r>
    </w:p>
    <w:p>
      <w:pPr>
        <w:spacing w:after="120" w:line="276"/>
      </w:pPr>
      <w:r>
        <w:t xml:space="preserve">Ranked by payoff-to-effort. The first four are the difference between 'incremental simulation' and 'a model with a defended, falsifiable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2600"/>
        <w:gridCol w:w="4380"/>
        <w:gridCol w:w="1950"/>
      </w:tblGrid>
      <w:tr>
        <w:trPr>
          <w:tblHeader/>
        </w:trPr>
        <w:tc>
          <w:tcPr>
            <w:tcW w:type="dxa" w:w="43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Experiment</w:t>
            </w:r>
          </w:p>
        </w:tc>
        <w:tc>
          <w:tcPr>
            <w:tcW w:type="dxa" w:w="43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What it buys you</w:t>
            </w:r>
          </w:p>
        </w:tc>
        <w:tc>
          <w:tcPr>
            <w:tcW w:type="dxa" w:w="195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Targets weakness</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rPr>
              <w:t xml:space="preserve">1</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bCs/>
              </w:rPr>
              <w:t xml:space="preserve">Boost-with-adequate-seed</w:t>
            </w:r>
          </w:p>
        </w:tc>
        <w:tc>
          <w:tcPr>
            <w:tcW w:type="dxa" w:w="4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Give the last-encoded memory a normal encoding seed, THEN boost replay. If retention now rises, your 'amplifier not inscriber' claim is supported and disambiguated from a pure recency artifact. This is the experiment that decides the paper's central claim.</w:t>
            </w:r>
          </w:p>
        </w:tc>
        <w:tc>
          <w:tcPr>
            <w:tcW w:type="dxa" w:w="19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A4, E29, P1</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rPr>
              <w:t xml:space="preserve">2</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bCs/>
              </w:rPr>
              <w:t xml:space="preserve">Attractor diagnostics</w:t>
            </w:r>
          </w:p>
        </w:tc>
        <w:tc>
          <w:tcPr>
            <w:tcW w:type="dxa" w:w="4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Completion accuracy vs cue fraction; stable fixed-point detection; spontaneous completion. Converts the asserted 'attractor hub' into a measured one.</w:t>
            </w:r>
          </w:p>
        </w:tc>
        <w:tc>
          <w:tcPr>
            <w:tcW w:type="dxa" w:w="19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A6, P2 (attractor)</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rPr>
              <w:t xml:space="preserve">3</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bCs/>
              </w:rPr>
              <w:t xml:space="preserve">Single-timescale control model</w:t>
            </w:r>
          </w:p>
        </w:tc>
        <w:tc>
          <w:tcPr>
            <w:tcW w:type="dxa" w:w="4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 model with only the fast weight that SHOULD fail to retain. If it fails and the two-timescale model succeeds, you demonstrate necessity of the cascade architecture rather than assuming it.</w:t>
            </w:r>
          </w:p>
        </w:tc>
        <w:tc>
          <w:tcPr>
            <w:tcW w:type="dxa" w:w="19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A4, P3 (null model)</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rPr>
              <w:t xml:space="preserve">4</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bCs/>
              </w:rPr>
              <w:t xml:space="preserve">Learned-schema variant</w:t>
            </w:r>
          </w:p>
        </w:tc>
        <w:tc>
          <w:tcPr>
            <w:tcW w:type="dxa" w:w="4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Overlap emerges from correlated input statistics instead of being assigned. If the core-frequency advantage still appears, the schema story becomes a finding, not a construction.</w:t>
            </w:r>
          </w:p>
        </w:tc>
        <w:tc>
          <w:tcPr>
            <w:tcW w:type="dxa" w:w="19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A1.5, P2 (hand-design)</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rPr>
              <w:t xml:space="preserve">5</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bCs/>
              </w:rPr>
              <w:t xml:space="preserve">Behavioural-style readout</w:t>
            </w:r>
          </w:p>
        </w:tc>
        <w:tc>
          <w:tcPr>
            <w:tcW w:type="dxa" w:w="4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Cued-recall / discrimination accuracy validated against isyn_score. Removes the proxy objection.</w:t>
            </w:r>
          </w:p>
        </w:tc>
        <w:tc>
          <w:tcPr>
            <w:tcW w:type="dxa" w:w="19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A1.8, P2 (proxy)</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rPr>
              <w:t xml:space="preserve">6</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bCs/>
              </w:rPr>
              <w:t xml:space="preserve">Full parameter-sensitivity sweep</w:t>
            </w:r>
          </w:p>
        </w:tc>
        <w:tc>
          <w:tcPr>
            <w:tcW w:type="dxa" w:w="4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Vary gamma, the 1.3x boost, coherence and STDP thresholds +/-50%. Shows results are not a tuned sweet spot.</w:t>
            </w:r>
          </w:p>
        </w:tc>
        <w:tc>
          <w:tcPr>
            <w:tcW w:type="dxa" w:w="19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A7, P2 (free params)</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rPr>
              <w:t xml:space="preserve">7</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bCs/>
              </w:rPr>
              <w:t xml:space="preserve">Randomised encoding order</w:t>
            </w:r>
          </w:p>
        </w:tc>
        <w:tc>
          <w:tcPr>
            <w:tcW w:type="dxa" w:w="43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Breaks the order/recency confound in the boost-failure account.</w:t>
            </w:r>
          </w:p>
        </w:tc>
        <w:tc>
          <w:tcPr>
            <w:tcW w:type="dxa" w:w="19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val="false"/>
                <w:bCs w:val="false"/>
              </w:rPr>
              <w:t xml:space="preserve">A3, P3 (confound)</w:t>
            </w:r>
          </w:p>
        </w:tc>
      </w:tr>
    </w:tbl>
    <w:p>
      <w:r>
        <w:br w:type="page"/>
      </w:r>
    </w:p>
    <w:p>
      <w:pPr>
        <w:pStyle w:val="Heading1"/>
      </w:pPr>
      <w:r>
        <w:t xml:space="preserve">4. Overclaim corrections: before and after</w:t>
      </w:r>
    </w:p>
    <w:p>
      <w:pPr>
        <w:spacing w:after="120" w:line="276"/>
      </w:pPr>
      <w:r>
        <w:t xml:space="preserve">Every sentence below currently reaches past the evidence. The conservative rewrites preserve your meaning while surviving a hostile reviewer. Apply these verbatim or close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Original (overclaim)</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Conservative rewrite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9C2A2A"/>
              </w:rPr>
              <w:t xml:space="preserve">Title: '...Slow Cascade Synaptic Weights Form the Causal Substrate of Memory...'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2E6B2E"/>
              </w:rPr>
              <w:t xml:space="preserve">'Slow Cascade Weights Are Sufficient to Support Memory Retrieval in a Spiking Schema Network'</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9C2A2A"/>
              </w:rPr>
              <w:t xml:space="preserve">'the fast weight is a correlate rather than the storage substrate'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2E6B2E"/>
              </w:rPr>
              <w:t xml:space="preserve">'our interventions did not identify the fast weight as sufficient for retention, consistent with a primarily slow-weight substrate in this model'</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9C2A2A"/>
              </w:rPr>
              <w:t xml:space="preserve">'replay acts as an amplifier of an existing encoding-phase trace and cannot substitute for a missing trace'</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2E6B2E"/>
              </w:rPr>
              <w:t xml:space="preserve">'in our simulations, additional replay did not rescue the most weakly encoded memory, suggesting replay amplifies rather than creates a trace within this model'</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9C2A2A"/>
              </w:rPr>
              <w:t xml:space="preserve">'the number of replay events received by each memory predicted its final W_slow with r = 0.981'</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2E6B2E"/>
              </w:rPr>
              <w:t xml:space="preserve">'across three seeds, per-memory replay count covaried with final W_slow (mixed-effects estimate; see Methods on non-independence)'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9C2A2A"/>
              </w:rPr>
              <w:t xml:space="preserve">'forming an attractor hub that supports retrieval through pattern completion'</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2E6B2E"/>
              </w:rPr>
              <w:t xml:space="preserve">'consistent with a recurrent hub that may support pattern completion (tested directly in Sec. X)'</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9C2A2A"/>
              </w:rPr>
              <w:t xml:space="preserve">'the central causal observation of this work'</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2E6B2E"/>
              </w:rPr>
              <w:t xml:space="preserve">'the principal model prediction, established here across N seeds and offered as a falsifiable hypothesis'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9C2A2A"/>
              </w:rPr>
              <w:t xml:space="preserve">'...cannot create one ex nihilo.'</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color w:val="2E6B2E"/>
              </w:rPr>
              <w:t xml:space="preserve">'...did not generate retention in the absence of an adequate encoding-phase seed in our model.'</w:t>
            </w:r>
          </w:p>
        </w:tc>
      </w:tr>
    </w:tbl>
    <w:p>
      <w:pPr>
        <w:spacing w:after="120" w:line="276"/>
      </w:pPr>
      <w:r>
        <w:t xml:space="preserve"/>
      </w:r>
    </w:p>
    <w:p>
      <w:pPr>
        <w:pStyle w:val="Heading2"/>
      </w:pPr>
      <w:r>
        <w:t xml:space="preserve">Verb downgrades (apply throughout)</w:t>
      </w:r>
    </w:p>
    <w:p>
      <w:pPr>
        <w:spacing w:after="120" w:line="276"/>
      </w:pPr>
      <w:r>
        <w:t xml:space="preserve">Change 'demonstrates / proves / shows' to 'suggests / supports / is consistent with' for: the substrate claim, the amplifier-not-inscriber claim, the attractor-hub claim, and the quantitative-prediction claim. Keep stronger language ONLY for the within-model necessity of replay and sufficiency of W_slow, and scope even those to 'within this network'.</w:t>
      </w:r>
    </w:p>
    <w:p>
      <w:r>
        <w:br w:type="page"/>
      </w:r>
    </w:p>
    <w:p>
      <w:pPr>
        <w:pStyle w:val="Heading1"/>
      </w:pPr>
      <w:r>
        <w:t xml:space="preserve">5. Revised title and abstract</w:t>
      </w:r>
    </w:p>
    <w:p>
      <w:pPr>
        <w:pStyle w:val="Heading2"/>
      </w:pPr>
      <w:r>
        <w:t xml:space="preserve">Suggested title</w:t>
      </w:r>
    </w:p>
    <w:p>
      <w:pPr>
        <w:spacing w:after="120" w:line="276"/>
      </w:pPr>
      <w:r>
        <w:rPr>
          <w:b/>
          <w:bCs/>
          <w:color w:val="1F4E79"/>
        </w:rPr>
        <w:t xml:space="preserve">Slow Cascade Weights Are Sufficient to Support Replay-Driven Memory Retrieval in a Spiking Schema Network: A Causal Dissection</w:t>
      </w:r>
    </w:p>
    <w:p>
      <w:pPr>
        <w:spacing w:after="120" w:line="276"/>
      </w:pPr>
      <w:r>
        <w:t xml:space="preserve">Why: it leads with what you actually showed (sufficiency, causal dissection), drops the exclusivity overclaim, and foregrounds the genuine methodological contribution.</w:t>
      </w:r>
    </w:p>
    <w:p>
      <w:pPr>
        <w:pStyle w:val="Heading2"/>
      </w:pPr>
      <w:r>
        <w:t xml:space="preserve">Rewritten abstract (scoped, claim-accurate)</w:t>
      </w:r>
    </w:p>
    <w:p>
      <w:pPr>
        <w:pBdr>
          <w:left w:val="single" w:color="1F4E79" w:sz="18" w:space="12"/>
        </w:pBdr>
        <w:spacing w:after="120" w:line="276"/>
        <w:ind w:left="200"/>
      </w:pPr>
      <w:r>
        <w:rPr>
          <w:i/>
          <w:iCs/>
          <w:sz w:val="21"/>
          <w:szCs w:val="21"/>
        </w:rPr>
        <w:t xml:space="preserve">How offline replay stabilises memory and extracts shared structure across overlapping experiences is central to computational neuroscience and cognitive architectures. We address this in a 1000-neuron Izhikevich spiking network with spike-timing-dependent plasticity, a Fusi-type slow cascade weight (W_slow), and coherence-gated inter-memory replay. Four overlapping memories sharing an imposed 20-neuron core were trained sequentially, and we performed a battery of causal ablation and restoration experiments. Within this model, inter-memory replay was necessary for retention. Direct elevation of the fast core-to-core weight did not by itself rescue retention, and blocking its formation did not collapse retention, indicating the fast weight is not sufficient as the storage substrate. Restoring the slow core-to-core block recovered most baseline retention, and adding the unique-to-core block recovered nearly all of it, identifying W_slow as a sufficient substrate for retrieval in this network. Using a mixed-effects analysis across seeds, per-memory replay count covaried with final W_slow and retention. A causal manipulation of replay allocation produced an asymmetry: suppressing replay of a well-encoded memory degraded it, while boosting replay of a weakly encoded memory did not rescue it. We interpret these model results as a working hypothesis, Replay-Gated Cascade Consolidation, in which replay amplifies an existing encoding-phase trace rather than creating one. We discuss the tension between this prediction and reports that replay can strengthen weak memories, and offer the asymmetry as a falsifiable boundary condition for biological systems.</w:t>
      </w:r>
    </w:p>
    <w:p>
      <w:r>
        <w:br w:type="page"/>
      </w:r>
    </w:p>
    <w:p>
      <w:pPr>
        <w:pStyle w:val="Heading1"/>
      </w:pPr>
      <w:r>
        <w:t xml:space="preserve">6. Claim-strength map (use as a self-audit before submission)</w:t>
      </w:r>
    </w:p>
    <w:p>
      <w:pPr>
        <w:spacing w:after="120" w:line="276"/>
      </w:pPr>
      <w:r>
        <w:t xml:space="preserve">Match the language in the manuscript to the support tier below. Anything in the 'Speculative' rows must use hedged verbs and appear only in the Discussion, never the Abstract or Conclusion as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Conclusion</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Support tier</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40" w:line="252"/>
            </w:pPr>
            <w:r>
              <w:rPr>
                <w:b/>
                <w:bCs/>
                <w:color w:val="FFFFFF"/>
              </w:rPr>
              <w:t xml:space="preserve">Allowed language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Replay necessary for retention (in model)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2E6B2E"/>
              </w:rPr>
              <w:t xml:space="preserve">Strong</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may state plainly, scoped to 'in this network'</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W_slow[cc]+[uc] sufficient for readout</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2E6B2E"/>
              </w:rPr>
              <w:t xml:space="preserve">Strong</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'sufficient to recover retention in this model'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Core acquires higher W_slow than unique neurons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2E6B2E"/>
              </w:rPr>
              <w:t xml:space="preserve">Strong</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may state plainly (note it is partly architectural)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Fast weight not solely sufficient</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B8860B"/>
              </w:rPr>
              <w:t xml:space="preserve">Moderate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'our interventions did not identify... as sufficient'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Replay count covaries with W_slow / retention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B8860B"/>
              </w:rPr>
              <w:t xml:space="preserve">Moderate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'covaried' + mixed-effects estimate, not 'predicts'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Replay count quantitatively predicts consolidation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C55A11"/>
              </w:rPr>
              <w:t xml:space="preserve">Weak</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downgrade; report as association after re-analysis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Core forms an attractor hub</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C55A11"/>
              </w:rPr>
              <w:t xml:space="preserve">Weak</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'consistent with a recurrent hub' until diagnostics added</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Amplification not inscription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9C2A2A"/>
              </w:rPr>
              <w:t xml:space="preserve">Speculative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'suggests', Discussion only, with contrary literature cited</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W_slow is THE causal substrate of memory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9C2A2A"/>
              </w:rPr>
              <w:t xml:space="preserve">Speculative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remove; replace with 'a sufficient substrate for retrieval'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Biological predictions / cortical generalisation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jc w:val="center"/>
            </w:pPr>
            <w:r>
              <w:rPr>
                <w:b/>
                <w:bCs/>
                <w:color w:val="9C2A2A"/>
              </w:rPr>
              <w:t xml:space="preserve">Speculative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52"/>
            </w:pPr>
            <w:r>
              <w:rPr>
                <w:b w:val="false"/>
                <w:bCs w:val="false"/>
              </w:rPr>
              <w:t xml:space="preserve">Discussion only, clearly framed as predictions</w:t>
            </w:r>
          </w:p>
        </w:tc>
      </w:tr>
    </w:tbl>
    <w:p>
      <w:r>
        <w:br w:type="page"/>
      </w:r>
    </w:p>
    <w:p>
      <w:pPr>
        <w:pStyle w:val="Heading1"/>
      </w:pPr>
      <w:r>
        <w:t xml:space="preserve">7. Realistic submission strategy</w:t>
      </w:r>
    </w:p>
    <w:p>
      <w:pPr>
        <w:spacing w:after="120" w:line="276"/>
      </w:pPr>
      <w:r>
        <w:t xml:space="preserve">Two viable paths. Pick based on how much new computation you are willing to run.</w:t>
      </w:r>
    </w:p>
    <w:p>
      <w:pPr>
        <w:pStyle w:val="Heading2"/>
      </w:pPr>
      <w:r>
        <w:t xml:space="preserve">Path A — Fast, safe (no new experiments, ~2-3 weeks of edits)</w:t>
      </w:r>
    </w:p>
    <w:p>
      <w:pPr>
        <w:pStyle w:val="ListParagraph"/>
        <w:numPr>
          <w:ilvl w:val="0"/>
          <w:numId w:val="2"/>
        </w:numPr>
        <w:spacing w:after="60" w:line="276"/>
      </w:pPr>
      <w:r>
        <w:t xml:space="preserve">Apply all Section 2 statistical fixes and all Section 4 overclaim rewrites.</w:t>
      </w:r>
    </w:p>
    <w:p>
      <w:pPr>
        <w:pStyle w:val="ListParagraph"/>
        <w:numPr>
          <w:ilvl w:val="0"/>
          <w:numId w:val="2"/>
        </w:numPr>
        <w:spacing w:after="60" w:line="276"/>
      </w:pPr>
      <w:r>
        <w:t xml:space="preserve">Submit to BICA 2026 (your current venue) and, in parallel or after, Cognitive Systems Research.</w:t>
      </w:r>
    </w:p>
    <w:p>
      <w:pPr>
        <w:pStyle w:val="ListParagraph"/>
        <w:numPr>
          <w:ilvl w:val="0"/>
          <w:numId w:val="2"/>
        </w:numPr>
        <w:spacing w:after="60" w:line="276"/>
      </w:pPr>
      <w:r>
        <w:t xml:space="preserve">Expected outcome: accept at BICA; major-revision-to-accept at CSR. A solid, real publication.</w:t>
      </w:r>
    </w:p>
    <w:p>
      <w:pPr>
        <w:pStyle w:val="Heading2"/>
      </w:pPr>
      <w:r>
        <w:t xml:space="preserve">Path B — Higher ceiling (run Section 3 experiments 1-3 + 6, ~2-3 months)</w:t>
      </w:r>
    </w:p>
    <w:p>
      <w:pPr>
        <w:pStyle w:val="ListParagraph"/>
        <w:numPr>
          <w:ilvl w:val="0"/>
          <w:numId w:val="2"/>
        </w:numPr>
        <w:spacing w:after="60" w:line="276"/>
      </w:pPr>
      <w:r>
        <w:t xml:space="preserve">Add the boost-with-adequate-seed experiment, attractor diagnostics, the single-timescale null model, and the parameter sweep.</w:t>
      </w:r>
    </w:p>
    <w:p>
      <w:pPr>
        <w:pStyle w:val="ListParagraph"/>
        <w:numPr>
          <w:ilvl w:val="0"/>
          <w:numId w:val="2"/>
        </w:numPr>
        <w:spacing w:after="60" w:line="276"/>
      </w:pPr>
      <w:r>
        <w:t xml:space="preserve">Apply all statistical and rhetorical fixes.</w:t>
      </w:r>
    </w:p>
    <w:p>
      <w:pPr>
        <w:pStyle w:val="ListParagraph"/>
        <w:numPr>
          <w:ilvl w:val="0"/>
          <w:numId w:val="2"/>
        </w:numPr>
        <w:spacing w:after="60" w:line="276"/>
      </w:pPr>
      <w:r>
        <w:t xml:space="preserve">Target Frontiers in Computational Neuroscience or Biological Cybernetics; attempt PLOS Computational Biology as a stretch.</w:t>
      </w:r>
    </w:p>
    <w:p>
      <w:pPr>
        <w:pStyle w:val="ListParagraph"/>
        <w:numPr>
          <w:ilvl w:val="0"/>
          <w:numId w:val="2"/>
        </w:numPr>
        <w:spacing w:after="60" w:line="276"/>
      </w:pPr>
      <w:r>
        <w:t xml:space="preserve">Expected outcome: credible at the Frontiers/BioCyb tier; PLOS CB remains a long shot (~15-20%) but becomes defensible rather than hopeless.</w:t>
      </w:r>
    </w:p>
    <w:p>
      <w:pPr>
        <w:pStyle w:val="Heading2"/>
      </w:pPr>
      <w:r>
        <w:t xml:space="preserve">On Nature Neuroscience</w:t>
      </w:r>
    </w:p>
    <w:p>
      <w:pPr>
        <w:spacing w:after="120" w:line="276"/>
      </w:pPr>
      <w:r>
        <w:rPr>
          <w:b/>
          <w:bCs/>
        </w:rPr>
        <w:t xml:space="preserve">Direct answer: </w:t>
      </w:r>
      <w:r>
        <w:t xml:space="preserve">not reachable with a simulation-only study, regardless of how the statistics are fixed. NN and Nature Communications expect either biological data or a genuinely new mechanism. The route to that tier is a multi-year collaboration in which an experimental lab tests your falsifiable prediction (the suppression/boost asymmetry) in vivo, and you co-author the combined modeling-plus-data paper. That is the honest path to a Nature-family journal for this line of work — and it starts by publishing the clean model now in a strong specialised venue so an experimentalist can find it and build on it.</w:t>
      </w:r>
    </w:p>
    <w:p>
      <w:r>
        <w:br w:type="page"/>
      </w:r>
    </w:p>
    <w:p>
      <w:pPr>
        <w:pStyle w:val="Heading1"/>
      </w:pPr>
      <w:r>
        <w:t xml:space="preserve">8. Pre-submission checklist</w:t>
      </w:r>
    </w:p>
    <w:p>
      <w:pPr>
        <w:spacing w:after="120" w:line="276"/>
      </w:pPr>
      <w:r>
        <w:t xml:space="preserve">Tick every box before you submit anywhere indexed.</w:t>
      </w:r>
    </w:p>
    <w:p>
      <w:pPr>
        <w:pStyle w:val="ListParagraph"/>
        <w:numPr>
          <w:ilvl w:val="0"/>
          <w:numId w:val="2"/>
        </w:numPr>
        <w:spacing w:after="60" w:line="276"/>
      </w:pPr>
      <w:r>
        <w:rPr>
          <w:sz w:val="24"/>
          <w:szCs w:val="24"/>
        </w:rPr>
        <w:t xml:space="preserve">☐  </w:t>
      </w:r>
      <w:r>
        <w:t xml:space="preserve">Effect sizes (d, p) moved to supplement; narrative reframed on direction + mechanism.</w:t>
      </w:r>
    </w:p>
    <w:p>
      <w:pPr>
        <w:pStyle w:val="ListParagraph"/>
        <w:numPr>
          <w:ilvl w:val="0"/>
          <w:numId w:val="2"/>
        </w:numPr>
        <w:spacing w:after="60" w:line="276"/>
      </w:pPr>
      <w:r>
        <w:rPr>
          <w:sz w:val="24"/>
          <w:szCs w:val="24"/>
        </w:rPr>
        <w:t xml:space="preserve">☐  </w:t>
      </w:r>
      <w:r>
        <w:t xml:space="preserve">Correlations re-run as mixed-effects models; effective n stated honestly.</w:t>
      </w:r>
    </w:p>
    <w:p>
      <w:pPr>
        <w:pStyle w:val="ListParagraph"/>
        <w:numPr>
          <w:ilvl w:val="0"/>
          <w:numId w:val="2"/>
        </w:numPr>
        <w:spacing w:after="60" w:line="276"/>
      </w:pPr>
      <w:r>
        <w:rPr>
          <w:sz w:val="24"/>
          <w:szCs w:val="24"/>
        </w:rPr>
        <w:t xml:space="preserve">☐  </w:t>
      </w:r>
      <w:r>
        <w:t xml:space="preserve">Task 10.5 re-run across &gt;=20 seeds with distributions and an interaction test.</w:t>
      </w:r>
    </w:p>
    <w:p>
      <w:pPr>
        <w:pStyle w:val="ListParagraph"/>
        <w:numPr>
          <w:ilvl w:val="0"/>
          <w:numId w:val="2"/>
        </w:numPr>
        <w:spacing w:after="60" w:line="276"/>
      </w:pPr>
      <w:r>
        <w:rPr>
          <w:sz w:val="24"/>
          <w:szCs w:val="24"/>
        </w:rPr>
        <w:t xml:space="preserve">☐  </w:t>
      </w:r>
      <w:r>
        <w:t xml:space="preserve">Contrary 'replay strengthens weak memories' literature cited and engaged.</w:t>
      </w:r>
    </w:p>
    <w:p>
      <w:pPr>
        <w:pStyle w:val="ListParagraph"/>
        <w:numPr>
          <w:ilvl w:val="0"/>
          <w:numId w:val="2"/>
        </w:numPr>
        <w:spacing w:after="60" w:line="276"/>
      </w:pPr>
      <w:r>
        <w:rPr>
          <w:sz w:val="24"/>
          <w:szCs w:val="24"/>
        </w:rPr>
        <w:t xml:space="preserve">☐  </w:t>
      </w:r>
      <w:r>
        <w:t xml:space="preserve">Title and abstract de-claimed (Section 5 applied).</w:t>
      </w:r>
    </w:p>
    <w:p>
      <w:pPr>
        <w:pStyle w:val="ListParagraph"/>
        <w:numPr>
          <w:ilvl w:val="0"/>
          <w:numId w:val="2"/>
        </w:numPr>
        <w:spacing w:after="60" w:line="276"/>
      </w:pPr>
      <w:r>
        <w:rPr>
          <w:sz w:val="24"/>
          <w:szCs w:val="24"/>
        </w:rPr>
        <w:t xml:space="preserve">☐  </w:t>
      </w:r>
      <w:r>
        <w:t xml:space="preserve">All Section 4 sentence rewrites applied; verbs downgraded throughout.</w:t>
      </w:r>
    </w:p>
    <w:p>
      <w:pPr>
        <w:pStyle w:val="ListParagraph"/>
        <w:numPr>
          <w:ilvl w:val="0"/>
          <w:numId w:val="2"/>
        </w:numPr>
        <w:spacing w:after="60" w:line="276"/>
      </w:pPr>
      <w:r>
        <w:rPr>
          <w:sz w:val="24"/>
          <w:szCs w:val="24"/>
        </w:rPr>
        <w:t xml:space="preserve">☐  </w:t>
      </w:r>
      <w:r>
        <w:t xml:space="preserve">Claim-strength map (Section 6) used to audit Abstract and Conclusion.</w:t>
      </w:r>
    </w:p>
    <w:p>
      <w:pPr>
        <w:pStyle w:val="ListParagraph"/>
        <w:numPr>
          <w:ilvl w:val="0"/>
          <w:numId w:val="2"/>
        </w:numPr>
        <w:spacing w:after="60" w:line="276"/>
      </w:pPr>
      <w:r>
        <w:rPr>
          <w:sz w:val="24"/>
          <w:szCs w:val="24"/>
        </w:rPr>
        <w:t xml:space="preserve">☐  </w:t>
      </w:r>
      <w:r>
        <w:t xml:space="preserve">Schema core reframed as imposed manipulation OR a learned-schema variant added.</w:t>
      </w:r>
    </w:p>
    <w:p>
      <w:pPr>
        <w:pStyle w:val="ListParagraph"/>
        <w:numPr>
          <w:ilvl w:val="0"/>
          <w:numId w:val="2"/>
        </w:numPr>
        <w:spacing w:after="60" w:line="276"/>
      </w:pPr>
      <w:r>
        <w:rPr>
          <w:sz w:val="24"/>
          <w:szCs w:val="24"/>
        </w:rPr>
        <w:t xml:space="preserve">☐  </w:t>
      </w:r>
      <w:r>
        <w:t xml:space="preserve">Attractor claim either backed by diagnostics or softened.</w:t>
      </w:r>
    </w:p>
    <w:p>
      <w:pPr>
        <w:pStyle w:val="ListParagraph"/>
        <w:numPr>
          <w:ilvl w:val="0"/>
          <w:numId w:val="2"/>
        </w:numPr>
        <w:spacing w:after="60" w:line="276"/>
      </w:pPr>
      <w:r>
        <w:rPr>
          <w:sz w:val="24"/>
          <w:szCs w:val="24"/>
        </w:rPr>
        <w:t xml:space="preserve">☐  </w:t>
      </w:r>
      <w:r>
        <w:t xml:space="preserve">Parameter-sensitivity supplement added (gamma, 1.3x boost, gates).</w:t>
      </w:r>
    </w:p>
    <w:p>
      <w:pPr>
        <w:pStyle w:val="ListParagraph"/>
        <w:numPr>
          <w:ilvl w:val="0"/>
          <w:numId w:val="2"/>
        </w:numPr>
        <w:spacing w:after="60" w:line="276"/>
      </w:pPr>
      <w:r>
        <w:rPr>
          <w:sz w:val="24"/>
          <w:szCs w:val="24"/>
        </w:rPr>
        <w:t xml:space="preserve">☐  </w:t>
      </w:r>
      <w:r>
        <w:t xml:space="preserve">isyn_score validated against a behaviour-style readout, or scoped as a proxy.</w:t>
      </w:r>
    </w:p>
    <w:p>
      <w:pPr>
        <w:pStyle w:val="ListParagraph"/>
        <w:numPr>
          <w:ilvl w:val="0"/>
          <w:numId w:val="2"/>
        </w:numPr>
        <w:spacing w:after="60" w:line="276"/>
      </w:pPr>
      <w:r>
        <w:rPr>
          <w:sz w:val="24"/>
          <w:szCs w:val="24"/>
        </w:rPr>
        <w:t xml:space="preserve">☐  </w:t>
      </w:r>
      <w:r>
        <w:t xml:space="preserve">Operating window stated explicitly in the abstract.</w:t>
      </w:r>
    </w:p>
    <w:p>
      <w:pPr>
        <w:pStyle w:val="ListParagraph"/>
        <w:numPr>
          <w:ilvl w:val="0"/>
          <w:numId w:val="2"/>
        </w:numPr>
        <w:spacing w:after="60" w:line="276"/>
      </w:pPr>
      <w:r>
        <w:rPr>
          <w:sz w:val="24"/>
          <w:szCs w:val="24"/>
        </w:rPr>
        <w:t xml:space="preserve">☐  </w:t>
      </w:r>
      <w:r>
        <w:t xml:space="preserve">Code + data + analysis scripts deposited with a DOI; pre-registration made citable.</w:t>
      </w:r>
    </w:p>
    <w:p>
      <w:pPr>
        <w:spacing w:after="120" w:line="276"/>
      </w:pPr>
      <w:r>
        <w:t xml:space="preserve"/>
      </w:r>
    </w:p>
    <w:p>
      <w:pPr>
        <w:pBdr>
          <w:top w:val="single" w:color="1F4E79" w:sz="12" w:space="6"/>
        </w:pBdr>
        <w:spacing w:before="200"/>
      </w:pPr>
      <w:r>
        <w:rPr>
          <w:i/>
          <w:iCs/>
          <w:color w:val="595959"/>
          <w:sz w:val="19"/>
          <w:szCs w:val="19"/>
        </w:rPr>
        <w:t xml:space="preserve">Prepared as a reviewer-style revision aid. The science and the writing here are good; the work to do is in calibration, statistics, and scope — not in starting over. Fix those, publish in a strong specialised venue, and let an experimental lab carry the prediction toward the higher-impact journals.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color w:val="808080"/>
        <w:sz w:val="16"/>
        <w:szCs w:val="16"/>
      </w:rPr>
      <w:t xml:space="preserve">RGCC — Revision &amp; Corrections Dossier</w:t>
    </w:r>
    <w:r>
      <w:rPr>
        <w:color w:val="808080"/>
        <w:sz w:val="16"/>
        <w:szCs w:val="16"/>
      </w:rPr>
      <w:t xml:space="preserve">	Warwatkar, BICA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RGCC Revision &amp; Corrections Dossier</dc:title>
  <dc:creator>Claude</dc:creator>
  <cp:lastModifiedBy>Un-named</cp:lastModifiedBy>
  <cp:revision>1</cp:revision>
  <dcterms:created xsi:type="dcterms:W3CDTF">2026-06-06T17:33:25.977Z</dcterms:created>
  <dcterms:modified xsi:type="dcterms:W3CDTF">2026-06-06T17:33:25.977Z</dcterms:modified>
</cp:coreProperties>
</file>

<file path=docProps/custom.xml><?xml version="1.0" encoding="utf-8"?>
<Properties xmlns="http://schemas.openxmlformats.org/officeDocument/2006/custom-properties" xmlns:vt="http://schemas.openxmlformats.org/officeDocument/2006/docPropsVTypes"/>
</file>