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:alias w:val="lac:v2:note:7bb7f1c796124d9cb4ac9ef078966f19"/>
        <w:tag w:val="lac:v2:note:7bb7f1c796124d9cb4ac9ef078966f19"/>
        <w15:appearance w15:val="boundingBox"/>
        <w:id w:val="1"/>
        <w:lock w:val="sdtContentLocked"/>
        <w:rPr/>
      </w:sdtPr>
      <w:sdtContent>
        <w:p>
          <w:pPr>
            <w:keepNext w:val="true"/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b/>
              <w:sz w:val="24"/>
            </w:rPr>
            <w:t xml:space="preserve">Note 1 — Synthetic ONLYOFFICE Editor (Kanungo) — 2026-10-13 15:01 UTC</w:t>
          </w:r>
          <w:r/>
        </w:p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Synthetic current note for Officer A. Source reference 17/2026. Rapid edit one. Same 😀 Same. A-FINAL-NATIVE-20261013.</w:t>
          </w:r>
          <w:r/>
        </w:p>
        <w:p>
          <w:pPr>
            <w:keepLines w:val="true"/>
            <w:pBdr/>
            <w:spacing w:after="720" w:before="7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Handwritten signature / Kanungo / date / marking</w:t>
          </w:r>
          <w:r>
            <w:br/>
          </w:r>
          <w:r>
            <w:br/>
          </w:r>
          <w:r/>
        </w:p>
      </w:sdtContent>
    </w:sdt>
    <w:sdt>
      <w:sdtPr>
        <w:alias w:val="lac:v2:context:3c6bd5cbf580435abdb938dfe92a9efc"/>
        <w:tag w:val="lac:v2:context:3c6bd5cbf580435abdb938dfe92a9efc"/>
        <w15:appearance w15:val="boundingBox"/>
        <w:id w:val="2"/>
        <w:lock w:val="sdtContentLocked"/>
        <w:rPr/>
      </w:sdtPr>
      <w:sdtContent>
        <w:p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UNSUBMITTED working note — Synthetic ONLYOFFICE Viewer (Tehsildar)</w:t>
          </w:r>
          <w:r/>
        </w:p>
      </w:sdtContent>
    </w:sdt>
    <w:sdt>
      <w:sdtPr>
        <w:alias w:val="lac:v2:current:3c6bd5cbf580435abdb938dfe92a9efc"/>
        <w:tag w:val="lac:v2:current:3c6bd5cbf580435abdb938dfe92a9efc"/>
        <w15:appearance w15:val="boundingBox"/>
        <w:id w:val="3"/>
        <w:lock w:val="sdtLocked"/>
        <w:rPr/>
      </w:sdtPr>
      <w:sdtContent>
        <w:p w14:paraId="7EADCA42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Synthetic current note for Officer B. Source reference 17/2026. B-SAVE-REOPEN-20261013.</w:t>
          </w:r>
          <w:r/>
          <w:r>
            <w:rPr>
              <w:rFonts w:ascii="Liberation Serif" w:hAnsi="Liberation Serif"/>
              <w:sz w:val="24"/>
            </w:rPr>
          </w:r>
          <w:r/>
        </w:p>
        <w:p w14:paraId="410A49B1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1.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232FD98B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2.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4AB76AF2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3.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6D8D08CE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4.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0B92ABAD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5.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358E8FD5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6.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5C9066B2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7.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340017B6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8.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362DFD9E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9.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</w:p>
        <w:p w14:paraId="61228EFC">
          <w:pPr>
            <w:pBdr/>
            <w:spacing w:after="120" w:line="360" w:lineRule="auto"/>
            <w:ind w:right="57" w:left="57"/>
            <w:rPr/>
          </w:pPr>
          <w:r>
            <w:rPr>
              <w:rFonts w:ascii="Liberation Serif" w:hAnsi="Liberation Serif"/>
              <w:sz w:val="24"/>
            </w:rPr>
            <w:t xml:space="preserve">Continuation 10. Synthetic inspection of reference 17/2026. The original receipt remains available separately. Kanungo observations are unchanged; Tehsildar continuation follows the reserved signature area. This sample contains no government record.</w:t>
          </w:r>
          <w:r/>
          <w:r>
            <w:rPr>
              <w:rFonts w:ascii="Liberation Serif" w:hAnsi="Liberation Serif"/>
              <w:sz w:val="24"/>
            </w:rPr>
            <w:t xml:space="preserve">B-FINAL-NATIVE-20261013.</w:t>
          </w:r>
          <w:r/>
          <w:r/>
        </w:p>
      </w:sdtContent>
    </w:sdt>
    <w:sectPr>
      <w:footnotePr/>
      <w:endnotePr/>
      <w:type w:val="nextPage"/>
      <w:pgSz w:h="20160" w:orient="portrait" w:w="12240"/>
      <w:pgMar w:top="1417" w:right="850" w:bottom="1417" w:left="255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Liberation Serif" w:cs="Liberation Serif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