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:alias w:val="lac:v2:context:581ac51b721f4f7bb9f346541580c99e"/>
        <w:tag w:val="lac:v2:context:581ac51b721f4f7bb9f346541580c99e"/>
        <w15:appearance w15:val="boundingBox"/>
        <w:id w:val="1"/>
        <w:lock w:val="sdtContentLocked"/>
        <w:rPr/>
      </w:sdtPr>
      <w:sdtContent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UNSUBMITTED working note — Synthetic ONLYOFFICE Editor (Kanungo)</w:t>
          </w:r>
          <w:r/>
        </w:p>
      </w:sdtContent>
    </w:sdt>
    <w:sdt>
      <w:sdtPr>
        <w:alias w:val="lac:v2:current:581ac51b721f4f7bb9f346541580c99e"/>
        <w:tag w:val="lac:v2:current:581ac51b721f4f7bb9f346541580c99e"/>
        <w15:appearance w15:val="boundingBox"/>
        <w:id w:val="2"/>
        <w:lock w:val="sdtLocked"/>
        <w:rPr/>
      </w:sdtPr>
      <w:sdtContent>
        <w:p>
          <w:pPr>
            <w:pBdr/>
            <w:spacing w:after="120" w:line="360" w:lineRule="auto"/>
            <w:ind w:right="57" w:left="57"/>
            <w:rPr/>
          </w:pPr>
          <w:r>
            <w:t xml:space="preserve">A-V4-FINAL-20261014. Synthetic inspection of  the original receipt is complete. The fictional boundary markers match the enclosed sample.</w:t>
          </w:r>
          <w:r/>
        </w:p>
      </w:sdtContent>
    </w:sdt>
    <w:sectPr>
      <w:footnotePr/>
      <w:endnotePr/>
      <w:type w:val="nextPage"/>
      <w:pgSz w:h="20160" w:orient="portrait" w:w="12240"/>
      <w:pgMar w:top="1417" w:right="850" w:bottom="1417" w:left="255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Liberation Serif" w:cs="Liberation Serif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