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F3A5F" w:val="clear"/>
            <w:tcMar>
              <w:top w:type="dxa" w:w="500"/>
              <w:left w:type="dxa" w:w="500"/>
              <w:bottom w:type="dxa" w:w="500"/>
              <w:right w:type="dxa" w:w="500"/>
            </w:tcMar>
          </w:tcPr>
          <w:p>
            <w:pPr>
              <w:spacing w:after="200"/>
            </w:pPr>
            <w:r>
              <w:rPr>
                <w:b/>
                <w:bCs/>
                <w:color w:val="93C5FD"/>
                <w:spacing w:val="40"/>
                <w:sz w:val="22"/>
                <w:szCs w:val="22"/>
              </w:rPr>
              <w:t xml:space="preserve">AI  GOVERNANCE  RESEARCH</w:t>
            </w:r>
          </w:p>
          <w:p>
            <w:pPr>
              <w:spacing w:after="160" w:line="300"/>
            </w:pPr>
            <w:r>
              <w:rPr>
                <w:b/>
                <w:bCs/>
                <w:color w:val="FFFFFF"/>
                <w:sz w:val="52"/>
                <w:szCs w:val="52"/>
              </w:rPr>
              <w:t xml:space="preserve">Open-Source AI Governance Frameworks</w:t>
            </w:r>
          </w:p>
          <w:p>
            <w:pPr>
              <w:spacing w:after="0" w:line="280"/>
            </w:pPr>
            <w:r>
              <w:rPr>
                <w:color w:val="DBEAFE"/>
                <w:sz w:val="26"/>
                <w:szCs w:val="26"/>
              </w:rPr>
              <w:t xml:space="preserve">A practical guide to implementing NIST AI RMF with open-source tools — covering Trust, Security, Governance, Compliance and Data Protection through a layered architecture</w:t>
            </w:r>
          </w:p>
        </w:tc>
      </w:tr>
    </w:tbl>
    <w:p>
      <w:pPr>
        <w:spacing w:after="4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72"/>
        <w:gridCol w:w="1872"/>
        <w:gridCol w:w="1872"/>
        <w:gridCol w:w="1872"/>
        <w:gridCol w:w="1872"/>
      </w:tblGrid>
      <w:tr>
        <w:trPr>
          <w:trHeight w:val="160" w:hRule="exact"/>
        </w:trPr>
        <w:tc>
          <w:tcPr>
            <w:tcW w:type="dxa" w:w="1872"/>
            <w:shd w:fill="2563EB" w:val="clear"/>
          </w:tcPr>
          <w:p>
            <w:r>
              <w:t xml:space="preserve"/>
            </w:r>
          </w:p>
        </w:tc>
        <w:tc>
          <w:tcPr>
            <w:tcW w:type="dxa" w:w="1872"/>
            <w:shd w:fill="B91C1C" w:val="clear"/>
          </w:tcPr>
          <w:p>
            <w:r>
              <w:t xml:space="preserve"/>
            </w:r>
          </w:p>
        </w:tc>
        <w:tc>
          <w:tcPr>
            <w:tcW w:type="dxa" w:w="1872"/>
            <w:shd w:fill="6D28D9" w:val="clear"/>
          </w:tcPr>
          <w:p>
            <w:r>
              <w:t xml:space="preserve"/>
            </w:r>
          </w:p>
        </w:tc>
        <w:tc>
          <w:tcPr>
            <w:tcW w:type="dxa" w:w="1872"/>
            <w:shd w:fill="D97706" w:val="clear"/>
          </w:tcPr>
          <w:p>
            <w:r>
              <w:t xml:space="preserve"/>
            </w:r>
          </w:p>
        </w:tc>
        <w:tc>
          <w:tcPr>
            <w:tcW w:type="dxa" w:w="1872"/>
            <w:shd w:fill="059669" w:val="clear"/>
          </w:tcPr>
          <w:p>
            <w:r>
              <w:t xml:space="preserve"/>
            </w:r>
          </w:p>
        </w:tc>
      </w:tr>
    </w:tbl>
    <w:p>
      <w:pPr>
        <w:spacing w:after="500"/>
      </w:pPr>
    </w:p>
    <w:tbl>
      <w:tblPr>
        <w:tblW w:type="dxa" w:w="9360"/>
        <w:tblBorders>
          <w:top w:val="none" w:color="FFFFFF" w:sz="0"/>
          <w:left w:val="none" w:color="FFFFFF" w:sz="0"/>
          <w:bottom w:val="none" w:color="FFFFFF" w:sz="0"/>
          <w:right w:val="none" w:color="FFFFFF" w:sz="0"/>
          <w:insideH w:val="single" w:color="E2E8F0" w:sz="4"/>
          <w:insideV w:val="none" w:color="FFFFFF" w:sz="0"/>
        </w:tblBorders>
      </w:tblPr>
      <w:tblGrid>
        <w:gridCol w:w="2400"/>
        <w:gridCol w:w="6960"/>
      </w:tblGrid>
      <w:tr>
        <w:tc>
          <w:tcPr>
            <w:tcW w:type="dxa" w:w="2400"/>
            <w:tcMar>
              <w:top w:type="dxa" w:w="80"/>
              <w:left w:type="dxa" w:w="110"/>
              <w:bottom w:type="dxa" w:w="80"/>
              <w:right w:type="dxa" w:w="110"/>
            </w:tcMar>
            <w:vAlign w:val="center"/>
          </w:tcPr>
          <w:p>
            <w:pPr>
              <w:spacing w:after="20" w:line="252"/>
            </w:pPr>
            <w:r>
              <w:rPr>
                <w:b/>
                <w:bCs/>
                <w:color w:val="64748B"/>
                <w:sz w:val="20"/>
                <w:szCs w:val="20"/>
              </w:rPr>
              <w:t xml:space="preserve">Prepared by</w:t>
            </w:r>
          </w:p>
        </w:tc>
        <w:tc>
          <w:tcPr>
            <w:tcW w:type="dxa" w:w="6960"/>
            <w:tcMar>
              <w:top w:type="dxa" w:w="80"/>
              <w:left w:type="dxa" w:w="110"/>
              <w:bottom w:type="dxa" w:w="80"/>
              <w:right w:type="dxa" w:w="110"/>
            </w:tcMar>
            <w:vAlign w:val="center"/>
          </w:tcPr>
          <w:p>
            <w:pPr>
              <w:spacing w:after="20" w:line="252"/>
            </w:pPr>
            <w:r>
              <w:rPr>
                <w:color w:val="1E293B"/>
                <w:sz w:val="20"/>
                <w:szCs w:val="20"/>
              </w:rPr>
              <w:t xml:space="preserve">Narendra Kalam</w:t>
            </w:r>
          </w:p>
        </w:tc>
      </w:tr>
      <w:tr>
        <w:tc>
          <w:tcPr>
            <w:tcW w:type="dxa" w:w="2400"/>
            <w:tcMar>
              <w:top w:type="dxa" w:w="80"/>
              <w:left w:type="dxa" w:w="110"/>
              <w:bottom w:type="dxa" w:w="80"/>
              <w:right w:type="dxa" w:w="110"/>
            </w:tcMar>
            <w:vAlign w:val="center"/>
          </w:tcPr>
          <w:p>
            <w:pPr>
              <w:spacing w:after="20" w:line="252"/>
            </w:pPr>
            <w:r>
              <w:rPr>
                <w:b/>
                <w:bCs/>
                <w:color w:val="64748B"/>
                <w:sz w:val="20"/>
                <w:szCs w:val="20"/>
              </w:rPr>
              <w:t xml:space="preserve">Date</w:t>
            </w:r>
          </w:p>
        </w:tc>
        <w:tc>
          <w:tcPr>
            <w:tcW w:type="dxa" w:w="6960"/>
            <w:tcMar>
              <w:top w:type="dxa" w:w="80"/>
              <w:left w:type="dxa" w:w="110"/>
              <w:bottom w:type="dxa" w:w="80"/>
              <w:right w:type="dxa" w:w="110"/>
            </w:tcMar>
            <w:vAlign w:val="center"/>
          </w:tcPr>
          <w:p>
            <w:pPr>
              <w:spacing w:after="20" w:line="252"/>
            </w:pPr>
            <w:r>
              <w:rPr>
                <w:color w:val="1E293B"/>
                <w:sz w:val="20"/>
                <w:szCs w:val="20"/>
              </w:rPr>
              <w:t xml:space="preserve">17 July 2026</w:t>
            </w:r>
          </w:p>
        </w:tc>
      </w:tr>
      <w:tr>
        <w:tc>
          <w:tcPr>
            <w:tcW w:type="dxa" w:w="2400"/>
            <w:tcMar>
              <w:top w:type="dxa" w:w="80"/>
              <w:left w:type="dxa" w:w="110"/>
              <w:bottom w:type="dxa" w:w="80"/>
              <w:right w:type="dxa" w:w="110"/>
            </w:tcMar>
            <w:vAlign w:val="center"/>
          </w:tcPr>
          <w:p>
            <w:pPr>
              <w:spacing w:after="20" w:line="252"/>
            </w:pPr>
            <w:r>
              <w:rPr>
                <w:b/>
                <w:bCs/>
                <w:color w:val="64748B"/>
                <w:sz w:val="20"/>
                <w:szCs w:val="20"/>
              </w:rPr>
              <w:t xml:space="preserve">Version</w:t>
            </w:r>
          </w:p>
        </w:tc>
        <w:tc>
          <w:tcPr>
            <w:tcW w:type="dxa" w:w="6960"/>
            <w:tcMar>
              <w:top w:type="dxa" w:w="80"/>
              <w:left w:type="dxa" w:w="110"/>
              <w:bottom w:type="dxa" w:w="80"/>
              <w:right w:type="dxa" w:w="110"/>
            </w:tcMar>
            <w:vAlign w:val="center"/>
          </w:tcPr>
          <w:p>
            <w:pPr>
              <w:spacing w:after="20" w:line="252"/>
            </w:pPr>
            <w:r>
              <w:rPr>
                <w:color w:val="1E293B"/>
                <w:sz w:val="20"/>
                <w:szCs w:val="20"/>
              </w:rPr>
              <w:t xml:space="preserve">1.0 — for internal review</w:t>
            </w:r>
          </w:p>
        </w:tc>
      </w:tr>
      <w:tr>
        <w:tc>
          <w:tcPr>
            <w:tcW w:type="dxa" w:w="2400"/>
            <w:tcMar>
              <w:top w:type="dxa" w:w="80"/>
              <w:left w:type="dxa" w:w="110"/>
              <w:bottom w:type="dxa" w:w="80"/>
              <w:right w:type="dxa" w:w="110"/>
            </w:tcMar>
            <w:vAlign w:val="center"/>
          </w:tcPr>
          <w:p>
            <w:pPr>
              <w:spacing w:after="20" w:line="252"/>
            </w:pPr>
            <w:r>
              <w:rPr>
                <w:b/>
                <w:bCs/>
                <w:color w:val="64748B"/>
                <w:sz w:val="20"/>
                <w:szCs w:val="20"/>
              </w:rPr>
              <w:t xml:space="preserve">Scope</w:t>
            </w:r>
          </w:p>
        </w:tc>
        <w:tc>
          <w:tcPr>
            <w:tcW w:type="dxa" w:w="6960"/>
            <w:tcMar>
              <w:top w:type="dxa" w:w="80"/>
              <w:left w:type="dxa" w:w="110"/>
              <w:bottom w:type="dxa" w:w="80"/>
              <w:right w:type="dxa" w:w="110"/>
            </w:tcMar>
            <w:vAlign w:val="center"/>
          </w:tcPr>
          <w:p>
            <w:pPr>
              <w:spacing w:after="20" w:line="252"/>
            </w:pPr>
            <w:r>
              <w:rPr>
                <w:color w:val="1E293B"/>
                <w:sz w:val="20"/>
                <w:szCs w:val="20"/>
              </w:rPr>
              <w:t xml:space="preserve">Open-source frameworks for AI governance, mapped to NIST AI RMF, EU AI Act, ISO 42001, GDPR, HIPAA and DPDPA</w:t>
            </w:r>
          </w:p>
        </w:tc>
      </w:tr>
    </w:tbl>
    <w:p>
      <w:pPr>
        <w:spacing w:after="400"/>
      </w:pPr>
    </w:p>
    <w:p>
      <w:r>
        <w:br w:type="page"/>
      </w:r>
    </w:p>
    <w:p>
      <w:pPr>
        <w:spacing w:after="200"/>
      </w:pPr>
      <w:r>
        <w:rPr>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64748B"/>
          <w:sz w:val="18"/>
          <w:szCs w:val="18"/>
        </w:rPr>
        <w:t xml:space="preserve">In Microsoft Word: right-click the table of contents and choose “Update Field” to populate page numbers.</w:t>
      </w:r>
    </w:p>
    <w:p>
      <w:r>
        <w:br w:type="page"/>
      </w:r>
    </w:p>
    <w:p>
      <w:pPr>
        <w:pStyle w:val="Heading1"/>
      </w:pPr>
      <w:r>
        <w:t xml:space="preserve">1.  Executive summary</w:t>
      </w:r>
    </w:p>
    <w:p>
      <w:pPr>
        <w:spacing w:after="120" w:line="276"/>
      </w:pPr>
      <w:r>
        <w:rPr>
          <w:sz w:val="21"/>
          <w:szCs w:val="21"/>
        </w:rPr>
        <w:t xml:space="preserve">No single open-source tool covers every pillar of AI governance. The market has settled on a layered architecture: organisational governance platforms at the base, policy-as-code at deploy time, runtime guardrails in the data path, and continuous evaluation on top. This report maps each layer to the five governance pillars (Trust, Security, Governance, Compliance, Data Protection) and recommends an implementation strategy aligned to the NIST AI RMF operating model.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80"/>
        <w:gridCol w:w="240"/>
        <w:gridCol w:w="1680"/>
        <w:gridCol w:w="240"/>
        <w:gridCol w:w="1680"/>
        <w:gridCol w:w="240"/>
        <w:gridCol w:w="1680"/>
        <w:gridCol w:w="240"/>
        <w:gridCol w:w="1680"/>
      </w:tblGrid>
      <w:tr>
        <w:tc>
          <w:tcPr>
            <w:tcW w:type="dxa" w:w="1680"/>
            <w:tcBorders>
              <w:top w:val="single" w:color="2563EB" w:sz="24"/>
              <w:left w:val="none" w:color="FFFFFF" w:sz="0"/>
              <w:bottom w:val="none" w:color="FFFFFF" w:sz="0"/>
              <w:right w:val="none" w:color="FFFFFF" w:sz="0"/>
            </w:tcBorders>
            <w:shd w:fill="EFF6FF" w:val="clear"/>
            <w:tcMar>
              <w:top w:type="dxa" w:w="200"/>
              <w:left w:type="dxa" w:w="200"/>
              <w:bottom w:type="dxa" w:w="200"/>
              <w:right w:type="dxa" w:w="200"/>
            </w:tcMar>
            <w:vAlign w:val="top"/>
          </w:tcPr>
          <w:p>
            <w:pPr>
              <w:spacing w:after="60"/>
            </w:pPr>
            <w:r>
              <w:rPr>
                <w:b/>
                <w:bCs/>
                <w:color w:val="2563EB"/>
                <w:sz w:val="44"/>
                <w:szCs w:val="44"/>
              </w:rPr>
              <w:t xml:space="preserve">5</w:t>
            </w:r>
          </w:p>
          <w:p>
            <w:pPr>
              <w:spacing w:after="80"/>
            </w:pPr>
            <w:r>
              <w:rPr>
                <w:b/>
                <w:bCs/>
                <w:color w:val="1E293B"/>
                <w:sz w:val="20"/>
                <w:szCs w:val="20"/>
              </w:rPr>
              <w:t xml:space="preserve">Governance platforms</w:t>
            </w:r>
          </w:p>
          <w:p>
            <w:pPr>
              <w:spacing w:after="50" w:line="252"/>
            </w:pPr>
            <w:r>
              <w:rPr>
                <w:color w:val="334155"/>
                <w:sz w:val="18"/>
                <w:szCs w:val="18"/>
              </w:rPr>
              <w:t xml:space="preserve">Full NIST AI RMF lifecycle coverage</w:t>
            </w:r>
          </w:p>
        </w:tc>
        <w:tc>
          <w:tcPr>
            <w:tcW w:type="dxa" w:w="240"/>
            <w:tcBorders>
              <w:top w:val="none" w:color="FFFFFF" w:sz="0"/>
              <w:left w:val="none" w:color="FFFFFF" w:sz="0"/>
              <w:bottom w:val="none" w:color="FFFFFF" w:sz="0"/>
              <w:right w:val="none" w:color="FFFFFF" w:sz="0"/>
            </w:tcBorders>
          </w:tcPr>
          <w:p>
            <w:r>
              <w:t xml:space="preserve"/>
            </w:r>
          </w:p>
        </w:tc>
        <w:tc>
          <w:tcPr>
            <w:tcW w:type="dxa" w:w="1680"/>
            <w:tcBorders>
              <w:top w:val="single" w:color="B91C1C" w:sz="24"/>
              <w:left w:val="none" w:color="FFFFFF" w:sz="0"/>
              <w:bottom w:val="none" w:color="FFFFFF" w:sz="0"/>
              <w:right w:val="none" w:color="FFFFFF" w:sz="0"/>
            </w:tcBorders>
            <w:shd w:fill="FEF2F2" w:val="clear"/>
            <w:tcMar>
              <w:top w:type="dxa" w:w="200"/>
              <w:left w:type="dxa" w:w="200"/>
              <w:bottom w:type="dxa" w:w="200"/>
              <w:right w:type="dxa" w:w="200"/>
            </w:tcMar>
            <w:vAlign w:val="top"/>
          </w:tcPr>
          <w:p>
            <w:pPr>
              <w:spacing w:after="60"/>
            </w:pPr>
            <w:r>
              <w:rPr>
                <w:b/>
                <w:bCs/>
                <w:color w:val="B91C1C"/>
                <w:sz w:val="44"/>
                <w:szCs w:val="44"/>
              </w:rPr>
              <w:t xml:space="preserve">4</w:t>
            </w:r>
          </w:p>
          <w:p>
            <w:pPr>
              <w:spacing w:after="80"/>
            </w:pPr>
            <w:r>
              <w:rPr>
                <w:b/>
                <w:bCs/>
                <w:color w:val="1E293B"/>
                <w:sz w:val="20"/>
                <w:szCs w:val="20"/>
              </w:rPr>
              <w:t xml:space="preserve">LLM gateways</w:t>
            </w:r>
          </w:p>
          <w:p>
            <w:pPr>
              <w:spacing w:after="50" w:line="252"/>
            </w:pPr>
            <w:r>
              <w:rPr>
                <w:color w:val="334155"/>
                <w:sz w:val="18"/>
                <w:szCs w:val="18"/>
              </w:rPr>
              <w:t xml:space="preserve">Runtime PII redaction &amp; audit</w:t>
            </w:r>
          </w:p>
        </w:tc>
        <w:tc>
          <w:tcPr>
            <w:tcW w:type="dxa" w:w="240"/>
            <w:tcBorders>
              <w:top w:val="none" w:color="FFFFFF" w:sz="0"/>
              <w:left w:val="none" w:color="FFFFFF" w:sz="0"/>
              <w:bottom w:val="none" w:color="FFFFFF" w:sz="0"/>
              <w:right w:val="none" w:color="FFFFFF" w:sz="0"/>
            </w:tcBorders>
          </w:tcPr>
          <w:p>
            <w:r>
              <w:t xml:space="preserve"/>
            </w:r>
          </w:p>
        </w:tc>
        <w:tc>
          <w:tcPr>
            <w:tcW w:type="dxa" w:w="1680"/>
            <w:tcBorders>
              <w:top w:val="single" w:color="6D28D9" w:sz="24"/>
              <w:left w:val="none" w:color="FFFFFF" w:sz="0"/>
              <w:bottom w:val="none" w:color="FFFFFF" w:sz="0"/>
              <w:right w:val="none" w:color="FFFFFF" w:sz="0"/>
            </w:tcBorders>
            <w:shd w:fill="F5F3FF" w:val="clear"/>
            <w:tcMar>
              <w:top w:type="dxa" w:w="200"/>
              <w:left w:type="dxa" w:w="200"/>
              <w:bottom w:type="dxa" w:w="200"/>
              <w:right w:type="dxa" w:w="200"/>
            </w:tcMar>
            <w:vAlign w:val="top"/>
          </w:tcPr>
          <w:p>
            <w:pPr>
              <w:spacing w:after="60"/>
            </w:pPr>
            <w:r>
              <w:rPr>
                <w:b/>
                <w:bCs/>
                <w:color w:val="6D28D9"/>
                <w:sz w:val="44"/>
                <w:szCs w:val="44"/>
              </w:rPr>
              <w:t xml:space="preserve">3</w:t>
            </w:r>
          </w:p>
          <w:p>
            <w:pPr>
              <w:spacing w:after="80"/>
            </w:pPr>
            <w:r>
              <w:rPr>
                <w:b/>
                <w:bCs/>
                <w:color w:val="1E293B"/>
                <w:sz w:val="20"/>
                <w:szCs w:val="20"/>
              </w:rPr>
              <w:t xml:space="preserve">Fairness toolkits</w:t>
            </w:r>
          </w:p>
          <w:p>
            <w:pPr>
              <w:spacing w:after="50" w:line="252"/>
            </w:pPr>
            <w:r>
              <w:rPr>
                <w:color w:val="334155"/>
                <w:sz w:val="18"/>
                <w:szCs w:val="18"/>
              </w:rPr>
              <w:t xml:space="preserve">70+ bias metrics combined</w:t>
            </w:r>
          </w:p>
        </w:tc>
        <w:tc>
          <w:tcPr>
            <w:tcW w:type="dxa" w:w="240"/>
            <w:tcBorders>
              <w:top w:val="none" w:color="FFFFFF" w:sz="0"/>
              <w:left w:val="none" w:color="FFFFFF" w:sz="0"/>
              <w:bottom w:val="none" w:color="FFFFFF" w:sz="0"/>
              <w:right w:val="none" w:color="FFFFFF" w:sz="0"/>
            </w:tcBorders>
          </w:tcPr>
          <w:p>
            <w:r>
              <w:t xml:space="preserve"/>
            </w:r>
          </w:p>
        </w:tc>
        <w:tc>
          <w:tcPr>
            <w:tcW w:type="dxa" w:w="1680"/>
            <w:tcBorders>
              <w:top w:val="single" w:color="047857" w:sz="24"/>
              <w:left w:val="none" w:color="FFFFFF" w:sz="0"/>
              <w:bottom w:val="none" w:color="FFFFFF" w:sz="0"/>
              <w:right w:val="none" w:color="FFFFFF" w:sz="0"/>
            </w:tcBorders>
            <w:shd w:fill="ECFDF5" w:val="clear"/>
            <w:tcMar>
              <w:top w:type="dxa" w:w="200"/>
              <w:left w:type="dxa" w:w="200"/>
              <w:bottom w:type="dxa" w:w="200"/>
              <w:right w:type="dxa" w:w="200"/>
            </w:tcMar>
            <w:vAlign w:val="top"/>
          </w:tcPr>
          <w:p>
            <w:pPr>
              <w:spacing w:after="60"/>
            </w:pPr>
            <w:r>
              <w:rPr>
                <w:b/>
                <w:bCs/>
                <w:color w:val="047857"/>
                <w:sz w:val="44"/>
                <w:szCs w:val="44"/>
              </w:rPr>
              <w:t xml:space="preserve">4</w:t>
            </w:r>
          </w:p>
          <w:p>
            <w:pPr>
              <w:spacing w:after="80"/>
            </w:pPr>
            <w:r>
              <w:rPr>
                <w:b/>
                <w:bCs/>
                <w:color w:val="1E293B"/>
                <w:sz w:val="20"/>
                <w:szCs w:val="20"/>
              </w:rPr>
              <w:t xml:space="preserve">Layers</w:t>
            </w:r>
          </w:p>
          <w:p>
            <w:pPr>
              <w:spacing w:after="50" w:line="252"/>
            </w:pPr>
            <w:r>
              <w:rPr>
                <w:color w:val="334155"/>
                <w:sz w:val="18"/>
                <w:szCs w:val="18"/>
              </w:rPr>
              <w:t xml:space="preserve">Org → deploy → runtime → eval</w:t>
            </w:r>
          </w:p>
        </w:tc>
        <w:tc>
          <w:tcPr>
            <w:tcW w:type="dxa" w:w="240"/>
            <w:tcBorders>
              <w:top w:val="none" w:color="FFFFFF" w:sz="0"/>
              <w:left w:val="none" w:color="FFFFFF" w:sz="0"/>
              <w:bottom w:val="none" w:color="FFFFFF" w:sz="0"/>
              <w:right w:val="none" w:color="FFFFFF" w:sz="0"/>
            </w:tcBorders>
          </w:tcPr>
          <w:p>
            <w:r>
              <w:t xml:space="preserve"/>
            </w:r>
          </w:p>
        </w:tc>
        <w:tc>
          <w:tcPr>
            <w:tcW w:type="dxa" w:w="1680"/>
            <w:tcBorders>
              <w:top w:val="single" w:color="B45309" w:sz="24"/>
              <w:left w:val="none" w:color="FFFFFF" w:sz="0"/>
              <w:bottom w:val="none" w:color="FFFFFF" w:sz="0"/>
              <w:right w:val="none" w:color="FFFFFF" w:sz="0"/>
            </w:tcBorders>
            <w:shd w:fill="FFFBEB" w:val="clear"/>
            <w:tcMar>
              <w:top w:type="dxa" w:w="200"/>
              <w:left w:type="dxa" w:w="200"/>
              <w:bottom w:type="dxa" w:w="200"/>
              <w:right w:type="dxa" w:w="200"/>
            </w:tcMar>
            <w:vAlign w:val="top"/>
          </w:tcPr>
          <w:p>
            <w:pPr>
              <w:spacing w:after="60"/>
            </w:pPr>
            <w:r>
              <w:rPr>
                <w:b/>
                <w:bCs/>
                <w:color w:val="B45309"/>
                <w:sz w:val="44"/>
                <w:szCs w:val="44"/>
              </w:rPr>
              <w:t xml:space="preserve">0</w:t>
            </w:r>
          </w:p>
          <w:p>
            <w:pPr>
              <w:spacing w:after="80"/>
            </w:pPr>
            <w:r>
              <w:rPr>
                <w:b/>
                <w:bCs/>
                <w:color w:val="1E293B"/>
                <w:sz w:val="20"/>
                <w:szCs w:val="20"/>
              </w:rPr>
              <w:t xml:space="preserve">Vendor lock-in</w:t>
            </w:r>
          </w:p>
          <w:p>
            <w:pPr>
              <w:spacing w:after="50" w:line="252"/>
            </w:pPr>
            <w:r>
              <w:rPr>
                <w:color w:val="334155"/>
                <w:sz w:val="18"/>
                <w:szCs w:val="18"/>
              </w:rPr>
              <w:t xml:space="preserve">All MIT/Apache licensed</w:t>
            </w:r>
          </w:p>
        </w:tc>
      </w:tr>
    </w:tbl>
    <w:p>
      <w:pPr>
        <w:spacing w:after="120"/>
      </w:pPr>
    </w:p>
    <w:tbl>
      <w:tblPr>
        <w:tblW w:type="dxa" w:w="9360"/>
        <w:tblBorders>
          <w:top w:val="none" w:color="FFFFFF" w:sz="0"/>
          <w:left w:val="single" w:color="2563EB" w:sz="28"/>
          <w:bottom w:val="none" w:color="FFFFFF" w:sz="0"/>
          <w:right w:val="none" w:color="FFFFFF" w:sz="0"/>
          <w:insideH w:val="none" w:color="FFFFFF" w:sz="0"/>
          <w:insideV w:val="none" w:color="FFFFFF" w:sz="0"/>
        </w:tblBorders>
      </w:tblPr>
      <w:tblGrid>
        <w:gridCol w:w="9360"/>
      </w:tblGrid>
      <w:tr>
        <w:tc>
          <w:tcPr>
            <w:tcW w:type="dxa" w:w="9360"/>
            <w:shd w:fill="EFF6FF" w:val="clear"/>
            <w:tcMar>
              <w:top w:type="dxa" w:w="120"/>
              <w:left w:type="dxa" w:w="160"/>
              <w:bottom w:type="dxa" w:w="120"/>
              <w:right w:type="dxa" w:w="160"/>
            </w:tcMar>
          </w:tcPr>
          <w:p>
            <w:pPr>
              <w:spacing w:after="80"/>
            </w:pPr>
            <w:r>
              <w:rPr>
                <w:b/>
                <w:bCs/>
                <w:color w:val="2563EB"/>
                <w:sz w:val="21"/>
                <w:szCs w:val="21"/>
              </w:rPr>
              <w:t xml:space="preserve">Key takeaway</w:t>
            </w:r>
          </w:p>
          <w:p>
            <w:pPr>
              <w:spacing w:after="120" w:line="276"/>
            </w:pPr>
            <w:r>
              <w:rPr>
                <w:sz w:val="21"/>
                <w:szCs w:val="21"/>
              </w:rPr>
              <w:t xml:space="preserve">Implement bottom-up: organisational structure first (so you know what you have), then policy gates (so non-compliant code cannot ship), then runtime guardrails (so personal data never reaches a model unmasked), then continuous evaluation (so you can prove it to an auditor). Each layer maps to specific NIST AI RMF functions and satisfies specific regulatory articles.</w:t>
            </w:r>
          </w:p>
        </w:tc>
      </w:tr>
    </w:tbl>
    <w:p>
      <w:pPr>
        <w:spacing w:after="120"/>
      </w:pPr>
    </w:p>
    <w:p>
      <w:r>
        <w:br w:type="page"/>
      </w:r>
    </w:p>
    <w:p>
      <w:pPr>
        <w:pStyle w:val="Heading1"/>
      </w:pPr>
      <w:r>
        <w:t xml:space="preserve">2.  The four-layer architecture</w:t>
      </w:r>
    </w:p>
    <w:p>
      <w:pPr>
        <w:spacing w:after="120" w:line="276"/>
      </w:pPr>
      <w:r>
        <w:rPr>
          <w:sz w:val="21"/>
          <w:szCs w:val="21"/>
        </w:rPr>
        <w:t xml:space="preserve">Governance tools operate at different enforcement points in the AI lifecycle. Rather than choosing one tool, mature organisations deploy a stack:</w:t>
      </w:r>
    </w:p>
    <w:p>
      <w:pPr>
        <w:spacing w:after="0" w:before="120"/>
        <w:jc w:val="center"/>
      </w:pPr>
      <w:r>
        <w:drawing>
          <wp:inline distT="0" distB="0" distL="0" distR="0">
            <wp:extent cx="5905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76550"/>
                    </a:xfrm>
                    <a:prstGeom prst="rect">
                      <a:avLst/>
                    </a:prstGeom>
                  </pic:spPr>
                </pic:pic>
              </a:graphicData>
            </a:graphic>
          </wp:inline>
        </w:drawing>
      </w:r>
    </w:p>
    <w:p>
      <w:pPr>
        <w:spacing w:after="240" w:before="60"/>
        <w:jc w:val="center"/>
      </w:pPr>
      <w:r>
        <w:rPr>
          <w:i/>
          <w:iCs/>
          <w:color w:val="64748B"/>
          <w:sz w:val="18"/>
          <w:szCs w:val="18"/>
        </w:rPr>
        <w:t xml:space="preserve">Figure 1 — The four-layer open-source governance architecture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200"/>
        <w:gridCol w:w="1800"/>
        <w:gridCol w:w="3600"/>
        <w:gridCol w:w="2760"/>
      </w:tblGrid>
      <w:tr>
        <w:trPr>
          <w:tblHeader/>
        </w:trPr>
        <w:tc>
          <w:tcPr>
            <w:tcW w:type="dxa" w:w="1200"/>
            <w:shd w:fill="1F3A5F" w:val="clear"/>
            <w:tcMar>
              <w:top w:type="dxa" w:w="80"/>
              <w:left w:type="dxa" w:w="110"/>
              <w:bottom w:type="dxa" w:w="80"/>
              <w:right w:type="dxa" w:w="110"/>
            </w:tcMar>
            <w:vAlign w:val="center"/>
          </w:tcPr>
          <w:p>
            <w:pPr>
              <w:spacing w:after="20" w:line="252"/>
            </w:pPr>
            <w:r>
              <w:rPr>
                <w:b/>
                <w:bCs/>
                <w:color w:val="FFFFFF"/>
                <w:sz w:val="19"/>
                <w:szCs w:val="19"/>
              </w:rPr>
              <w:t xml:space="preserve">Layer</w:t>
            </w:r>
          </w:p>
        </w:tc>
        <w:tc>
          <w:tcPr>
            <w:tcW w:type="dxa" w:w="1800"/>
            <w:shd w:fill="1F3A5F" w:val="clear"/>
            <w:tcMar>
              <w:top w:type="dxa" w:w="80"/>
              <w:left w:type="dxa" w:w="110"/>
              <w:bottom w:type="dxa" w:w="80"/>
              <w:right w:type="dxa" w:w="110"/>
            </w:tcMar>
            <w:vAlign w:val="center"/>
          </w:tcPr>
          <w:p>
            <w:pPr>
              <w:spacing w:after="20" w:line="252"/>
            </w:pPr>
            <w:r>
              <w:rPr>
                <w:b/>
                <w:bCs/>
                <w:color w:val="FFFFFF"/>
                <w:sz w:val="19"/>
                <w:szCs w:val="19"/>
              </w:rPr>
              <w:t xml:space="preserve">Enforcement Point</w:t>
            </w:r>
          </w:p>
        </w:tc>
        <w:tc>
          <w:tcPr>
            <w:tcW w:type="dxa" w:w="3600"/>
            <w:shd w:fill="1F3A5F" w:val="clear"/>
            <w:tcMar>
              <w:top w:type="dxa" w:w="80"/>
              <w:left w:type="dxa" w:w="110"/>
              <w:bottom w:type="dxa" w:w="80"/>
              <w:right w:type="dxa" w:w="110"/>
            </w:tcMar>
            <w:vAlign w:val="center"/>
          </w:tcPr>
          <w:p>
            <w:pPr>
              <w:spacing w:after="20" w:line="252"/>
            </w:pPr>
            <w:r>
              <w:rPr>
                <w:b/>
                <w:bCs/>
                <w:color w:val="FFFFFF"/>
                <w:sz w:val="19"/>
                <w:szCs w:val="19"/>
              </w:rPr>
              <w:t xml:space="preserve">What It Does</w:t>
            </w:r>
          </w:p>
        </w:tc>
        <w:tc>
          <w:tcPr>
            <w:tcW w:type="dxa" w:w="2760"/>
            <w:shd w:fill="1F3A5F" w:val="clear"/>
            <w:tcMar>
              <w:top w:type="dxa" w:w="80"/>
              <w:left w:type="dxa" w:w="110"/>
              <w:bottom w:type="dxa" w:w="80"/>
              <w:right w:type="dxa" w:w="110"/>
            </w:tcMar>
            <w:vAlign w:val="center"/>
          </w:tcPr>
          <w:p>
            <w:pPr>
              <w:spacing w:after="20" w:line="252"/>
            </w:pPr>
            <w:r>
              <w:rPr>
                <w:b/>
                <w:bCs/>
                <w:color w:val="FFFFFF"/>
                <w:sz w:val="19"/>
                <w:szCs w:val="19"/>
              </w:rPr>
              <w:t xml:space="preserve">When to Deploy</w:t>
            </w:r>
          </w:p>
        </w:tc>
      </w:tr>
      <w:tr>
        <w:tc>
          <w:tcPr>
            <w:tcW w:type="dxa" w:w="1200"/>
            <w:shd w:fill="FFFFFF" w:val="clear"/>
            <w:tcMar>
              <w:top w:type="dxa" w:w="80"/>
              <w:left w:type="dxa" w:w="110"/>
              <w:bottom w:type="dxa" w:w="80"/>
              <w:right w:type="dxa" w:w="110"/>
            </w:tcMar>
            <w:vAlign w:val="center"/>
          </w:tcPr>
          <w:p>
            <w:pPr>
              <w:spacing w:after="20" w:line="252"/>
            </w:pPr>
            <w:r>
              <w:rPr>
                <w:b/>
                <w:bCs/>
                <w:color w:val="2563EB"/>
                <w:sz w:val="19"/>
                <w:szCs w:val="19"/>
              </w:rPr>
              <w:t xml:space="preserve">1</w:t>
            </w:r>
          </w:p>
        </w:tc>
        <w:tc>
          <w:tcPr>
            <w:tcW w:type="dxa" w:w="1800"/>
            <w:shd w:fill="FFFFFF" w:val="clear"/>
            <w:tcMar>
              <w:top w:type="dxa" w:w="80"/>
              <w:left w:type="dxa" w:w="110"/>
              <w:bottom w:type="dxa" w:w="80"/>
              <w:right w:type="dxa" w:w="110"/>
            </w:tcMar>
            <w:vAlign w:val="center"/>
          </w:tcPr>
          <w:p>
            <w:pPr>
              <w:spacing w:after="20" w:line="252"/>
            </w:pPr>
            <w:r>
              <w:rPr>
                <w:color w:val="1E293B"/>
                <w:sz w:val="19"/>
                <w:szCs w:val="19"/>
              </w:rPr>
              <w:t xml:space="preserve">Before build</w:t>
            </w:r>
          </w:p>
        </w:tc>
        <w:tc>
          <w:tcPr>
            <w:tcW w:type="dxa" w:w="3600"/>
            <w:shd w:fill="FFFFFF" w:val="clear"/>
            <w:tcMar>
              <w:top w:type="dxa" w:w="80"/>
              <w:left w:type="dxa" w:w="110"/>
              <w:bottom w:type="dxa" w:w="80"/>
              <w:right w:type="dxa" w:w="110"/>
            </w:tcMar>
            <w:vAlign w:val="center"/>
          </w:tcPr>
          <w:p>
            <w:pPr>
              <w:spacing w:after="20" w:line="252"/>
            </w:pPr>
            <w:r>
              <w:rPr>
                <w:color w:val="1E293B"/>
                <w:sz w:val="19"/>
                <w:szCs w:val="19"/>
              </w:rPr>
              <w:t xml:space="preserve">AI inventory, risk scoring, model cards, committee structure, framework mapping</w:t>
            </w:r>
          </w:p>
        </w:tc>
        <w:tc>
          <w:tcPr>
            <w:tcW w:type="dxa" w:w="2760"/>
            <w:shd w:fill="FFFFFF" w:val="clear"/>
            <w:tcMar>
              <w:top w:type="dxa" w:w="80"/>
              <w:left w:type="dxa" w:w="110"/>
              <w:bottom w:type="dxa" w:w="80"/>
              <w:right w:type="dxa" w:w="110"/>
            </w:tcMar>
            <w:vAlign w:val="center"/>
          </w:tcPr>
          <w:p>
            <w:pPr>
              <w:spacing w:after="20" w:line="252"/>
            </w:pPr>
            <w:r>
              <w:rPr>
                <w:color w:val="1E293B"/>
                <w:sz w:val="19"/>
                <w:szCs w:val="19"/>
              </w:rPr>
              <w:t xml:space="preserve">Days 0–30</w:t>
            </w:r>
          </w:p>
        </w:tc>
      </w:tr>
      <w:tr>
        <w:tc>
          <w:tcPr>
            <w:tcW w:type="dxa" w:w="1200"/>
            <w:shd w:fill="F1F5F9" w:val="clear"/>
            <w:tcMar>
              <w:top w:type="dxa" w:w="80"/>
              <w:left w:type="dxa" w:w="110"/>
              <w:bottom w:type="dxa" w:w="80"/>
              <w:right w:type="dxa" w:w="110"/>
            </w:tcMar>
            <w:vAlign w:val="center"/>
          </w:tcPr>
          <w:p>
            <w:pPr>
              <w:spacing w:after="20" w:line="252"/>
            </w:pPr>
            <w:r>
              <w:rPr>
                <w:b/>
                <w:bCs/>
                <w:color w:val="6D28D9"/>
                <w:sz w:val="19"/>
                <w:szCs w:val="19"/>
              </w:rPr>
              <w:t xml:space="preserve">2</w:t>
            </w:r>
          </w:p>
        </w:tc>
        <w:tc>
          <w:tcPr>
            <w:tcW w:type="dxa" w:w="1800"/>
            <w:shd w:fill="F1F5F9" w:val="clear"/>
            <w:tcMar>
              <w:top w:type="dxa" w:w="80"/>
              <w:left w:type="dxa" w:w="110"/>
              <w:bottom w:type="dxa" w:w="80"/>
              <w:right w:type="dxa" w:w="110"/>
            </w:tcMar>
            <w:vAlign w:val="center"/>
          </w:tcPr>
          <w:p>
            <w:pPr>
              <w:spacing w:after="20" w:line="252"/>
            </w:pPr>
            <w:r>
              <w:rPr>
                <w:color w:val="1E293B"/>
                <w:sz w:val="19"/>
                <w:szCs w:val="19"/>
              </w:rPr>
              <w:t xml:space="preserve">CI/CD pipeline</w:t>
            </w:r>
          </w:p>
        </w:tc>
        <w:tc>
          <w:tcPr>
            <w:tcW w:type="dxa" w:w="3600"/>
            <w:shd w:fill="F1F5F9" w:val="clear"/>
            <w:tcMar>
              <w:top w:type="dxa" w:w="80"/>
              <w:left w:type="dxa" w:w="110"/>
              <w:bottom w:type="dxa" w:w="80"/>
              <w:right w:type="dxa" w:w="110"/>
            </w:tcMar>
            <w:vAlign w:val="center"/>
          </w:tcPr>
          <w:p>
            <w:pPr>
              <w:spacing w:after="20" w:line="252"/>
            </w:pPr>
            <w:r>
              <w:rPr>
                <w:color w:val="1E293B"/>
                <w:sz w:val="19"/>
                <w:szCs w:val="19"/>
              </w:rPr>
              <w:t xml:space="preserve">Policy gates that block non-compliant workloads at deploy time</w:t>
            </w:r>
          </w:p>
        </w:tc>
        <w:tc>
          <w:tcPr>
            <w:tcW w:type="dxa" w:w="2760"/>
            <w:shd w:fill="F1F5F9" w:val="clear"/>
            <w:tcMar>
              <w:top w:type="dxa" w:w="80"/>
              <w:left w:type="dxa" w:w="110"/>
              <w:bottom w:type="dxa" w:w="80"/>
              <w:right w:type="dxa" w:w="110"/>
            </w:tcMar>
            <w:vAlign w:val="center"/>
          </w:tcPr>
          <w:p>
            <w:pPr>
              <w:spacing w:after="20" w:line="252"/>
            </w:pPr>
            <w:r>
              <w:rPr>
                <w:color w:val="1E293B"/>
                <w:sz w:val="19"/>
                <w:szCs w:val="19"/>
              </w:rPr>
              <w:t xml:space="preserve">Days 30–60</w:t>
            </w:r>
          </w:p>
        </w:tc>
      </w:tr>
      <w:tr>
        <w:tc>
          <w:tcPr>
            <w:tcW w:type="dxa" w:w="1200"/>
            <w:shd w:fill="FFFFFF" w:val="clear"/>
            <w:tcMar>
              <w:top w:type="dxa" w:w="80"/>
              <w:left w:type="dxa" w:w="110"/>
              <w:bottom w:type="dxa" w:w="80"/>
              <w:right w:type="dxa" w:w="110"/>
            </w:tcMar>
            <w:vAlign w:val="center"/>
          </w:tcPr>
          <w:p>
            <w:pPr>
              <w:spacing w:after="20" w:line="252"/>
            </w:pPr>
            <w:r>
              <w:rPr>
                <w:b/>
                <w:bCs/>
                <w:color w:val="B91C1C"/>
                <w:sz w:val="19"/>
                <w:szCs w:val="19"/>
              </w:rPr>
              <w:t xml:space="preserve">3</w:t>
            </w:r>
          </w:p>
        </w:tc>
        <w:tc>
          <w:tcPr>
            <w:tcW w:type="dxa" w:w="1800"/>
            <w:shd w:fill="FFFFFF" w:val="clear"/>
            <w:tcMar>
              <w:top w:type="dxa" w:w="80"/>
              <w:left w:type="dxa" w:w="110"/>
              <w:bottom w:type="dxa" w:w="80"/>
              <w:right w:type="dxa" w:w="110"/>
            </w:tcMar>
            <w:vAlign w:val="center"/>
          </w:tcPr>
          <w:p>
            <w:pPr>
              <w:spacing w:after="20" w:line="252"/>
            </w:pPr>
            <w:r>
              <w:rPr>
                <w:color w:val="1E293B"/>
                <w:sz w:val="19"/>
                <w:szCs w:val="19"/>
              </w:rPr>
              <w:t xml:space="preserve">Data path (proxy)</w:t>
            </w:r>
          </w:p>
        </w:tc>
        <w:tc>
          <w:tcPr>
            <w:tcW w:type="dxa" w:w="3600"/>
            <w:shd w:fill="FFFFFF" w:val="clear"/>
            <w:tcMar>
              <w:top w:type="dxa" w:w="80"/>
              <w:left w:type="dxa" w:w="110"/>
              <w:bottom w:type="dxa" w:w="80"/>
              <w:right w:type="dxa" w:w="110"/>
            </w:tcMar>
            <w:vAlign w:val="center"/>
          </w:tcPr>
          <w:p>
            <w:pPr>
              <w:spacing w:after="20" w:line="252"/>
            </w:pPr>
            <w:r>
              <w:rPr>
                <w:color w:val="1E293B"/>
                <w:sz w:val="19"/>
                <w:szCs w:val="19"/>
              </w:rPr>
              <w:t xml:space="preserve">PII redaction, injection defence, content safety, immutable audit logs</w:t>
            </w:r>
          </w:p>
        </w:tc>
        <w:tc>
          <w:tcPr>
            <w:tcW w:type="dxa" w:w="2760"/>
            <w:shd w:fill="FFFFFF" w:val="clear"/>
            <w:tcMar>
              <w:top w:type="dxa" w:w="80"/>
              <w:left w:type="dxa" w:w="110"/>
              <w:bottom w:type="dxa" w:w="80"/>
              <w:right w:type="dxa" w:w="110"/>
            </w:tcMar>
            <w:vAlign w:val="center"/>
          </w:tcPr>
          <w:p>
            <w:pPr>
              <w:spacing w:after="20" w:line="252"/>
            </w:pPr>
            <w:r>
              <w:rPr>
                <w:color w:val="1E293B"/>
                <w:sz w:val="19"/>
                <w:szCs w:val="19"/>
              </w:rPr>
              <w:t xml:space="preserve">Days 60–90</w:t>
            </w:r>
          </w:p>
        </w:tc>
      </w:tr>
      <w:tr>
        <w:tc>
          <w:tcPr>
            <w:tcW w:type="dxa" w:w="1200"/>
            <w:shd w:fill="F1F5F9" w:val="clear"/>
            <w:tcMar>
              <w:top w:type="dxa" w:w="80"/>
              <w:left w:type="dxa" w:w="110"/>
              <w:bottom w:type="dxa" w:w="80"/>
              <w:right w:type="dxa" w:w="110"/>
            </w:tcMar>
            <w:vAlign w:val="center"/>
          </w:tcPr>
          <w:p>
            <w:pPr>
              <w:spacing w:after="20" w:line="252"/>
            </w:pPr>
            <w:r>
              <w:rPr>
                <w:b/>
                <w:bCs/>
                <w:color w:val="B45309"/>
                <w:sz w:val="19"/>
                <w:szCs w:val="19"/>
              </w:rPr>
              <w:t xml:space="preserve">4</w:t>
            </w:r>
          </w:p>
        </w:tc>
        <w:tc>
          <w:tcPr>
            <w:tcW w:type="dxa" w:w="1800"/>
            <w:shd w:fill="F1F5F9" w:val="clear"/>
            <w:tcMar>
              <w:top w:type="dxa" w:w="80"/>
              <w:left w:type="dxa" w:w="110"/>
              <w:bottom w:type="dxa" w:w="80"/>
              <w:right w:type="dxa" w:w="110"/>
            </w:tcMar>
            <w:vAlign w:val="center"/>
          </w:tcPr>
          <w:p>
            <w:pPr>
              <w:spacing w:after="20" w:line="252"/>
            </w:pPr>
            <w:r>
              <w:rPr>
                <w:color w:val="1E293B"/>
                <w:sz w:val="19"/>
                <w:szCs w:val="19"/>
              </w:rPr>
              <w:t xml:space="preserve">Periodic + continuous</w:t>
            </w:r>
          </w:p>
        </w:tc>
        <w:tc>
          <w:tcPr>
            <w:tcW w:type="dxa" w:w="3600"/>
            <w:shd w:fill="F1F5F9" w:val="clear"/>
            <w:tcMar>
              <w:top w:type="dxa" w:w="80"/>
              <w:left w:type="dxa" w:w="110"/>
              <w:bottom w:type="dxa" w:w="80"/>
              <w:right w:type="dxa" w:w="110"/>
            </w:tcMar>
            <w:vAlign w:val="center"/>
          </w:tcPr>
          <w:p>
            <w:pPr>
              <w:spacing w:after="20" w:line="252"/>
            </w:pPr>
            <w:r>
              <w:rPr>
                <w:color w:val="1E293B"/>
                <w:sz w:val="19"/>
                <w:szCs w:val="19"/>
              </w:rPr>
              <w:t xml:space="preserve">Red-teaming, bias audits, drift detection, fairness metrics, evidence packs</w:t>
            </w:r>
          </w:p>
        </w:tc>
        <w:tc>
          <w:tcPr>
            <w:tcW w:type="dxa" w:w="2760"/>
            <w:shd w:fill="F1F5F9" w:val="clear"/>
            <w:tcMar>
              <w:top w:type="dxa" w:w="80"/>
              <w:left w:type="dxa" w:w="110"/>
              <w:bottom w:type="dxa" w:w="80"/>
              <w:right w:type="dxa" w:w="110"/>
            </w:tcMar>
            <w:vAlign w:val="center"/>
          </w:tcPr>
          <w:p>
            <w:pPr>
              <w:spacing w:after="20" w:line="252"/>
            </w:pPr>
            <w:r>
              <w:rPr>
                <w:color w:val="1E293B"/>
                <w:sz w:val="19"/>
                <w:szCs w:val="19"/>
              </w:rPr>
              <w:t xml:space="preserve">Day 90+</w:t>
            </w:r>
          </w:p>
        </w:tc>
      </w:tr>
    </w:tbl>
    <w:p>
      <w:pPr>
        <w:spacing w:after="120"/>
      </w:pPr>
    </w:p>
    <w:p>
      <w:pPr>
        <w:spacing w:after="120" w:line="276"/>
      </w:pPr>
      <w:r>
        <w:rPr>
          <w:sz w:val="21"/>
          <w:szCs w:val="21"/>
        </w:rPr>
        <w:t xml:space="preserve">This mirrors the NIST AI RMF structure: Layer 1 is Govern + Map, Layer 2 is the Measure gate, Layer 3 is Manage at runtime, and Layer 4 is continuous Measure + Manage feedback.</w:t>
      </w:r>
    </w:p>
    <w:p>
      <w:pPr>
        <w:spacing w:after="120"/>
      </w:pPr>
    </w:p>
    <w:p>
      <w:r>
        <w:br w:type="page"/>
      </w:r>
    </w:p>
    <w:p>
      <w:pPr>
        <w:pStyle w:val="Heading1"/>
      </w:pPr>
      <w:r>
        <w:t xml:space="preserve">3.  End-to-end governance platforms</w:t>
      </w:r>
    </w:p>
    <w:p>
      <w:pPr>
        <w:spacing w:after="120" w:line="276"/>
      </w:pPr>
      <w:r>
        <w:rPr>
          <w:sz w:val="21"/>
          <w:szCs w:val="21"/>
        </w:rPr>
        <w:t xml:space="preserve">These platforms cover the full NIST AI RMF lifecycle: Govern, Map, Measure, and Manage. They provide the organisational infrastructure — inventories, risk scores, model cards, compliance mapping — that every other layer depends on.</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800"/>
        <w:gridCol w:w="1100"/>
        <w:gridCol w:w="3200"/>
        <w:gridCol w:w="1800"/>
        <w:gridCol w:w="1460"/>
      </w:tblGrid>
      <w:tr>
        <w:trPr>
          <w:tblHeader/>
        </w:trPr>
        <w:tc>
          <w:tcPr>
            <w:tcW w:type="dxa" w:w="1800"/>
            <w:shd w:fill="1F3A5F" w:val="clear"/>
            <w:tcMar>
              <w:top w:type="dxa" w:w="80"/>
              <w:left w:type="dxa" w:w="110"/>
              <w:bottom w:type="dxa" w:w="80"/>
              <w:right w:type="dxa" w:w="110"/>
            </w:tcMar>
            <w:vAlign w:val="center"/>
          </w:tcPr>
          <w:p>
            <w:pPr>
              <w:spacing w:after="20" w:line="252"/>
            </w:pPr>
            <w:r>
              <w:rPr>
                <w:b/>
                <w:bCs/>
                <w:color w:val="FFFFFF"/>
                <w:sz w:val="19"/>
                <w:szCs w:val="19"/>
              </w:rPr>
              <w:t xml:space="preserve">Framework</w:t>
            </w:r>
          </w:p>
        </w:tc>
        <w:tc>
          <w:tcPr>
            <w:tcW w:type="dxa" w:w="1100"/>
            <w:shd w:fill="1F3A5F" w:val="clear"/>
            <w:tcMar>
              <w:top w:type="dxa" w:w="80"/>
              <w:left w:type="dxa" w:w="110"/>
              <w:bottom w:type="dxa" w:w="80"/>
              <w:right w:type="dxa" w:w="110"/>
            </w:tcMar>
            <w:vAlign w:val="center"/>
          </w:tcPr>
          <w:p>
            <w:pPr>
              <w:spacing w:after="20" w:line="252"/>
            </w:pPr>
            <w:r>
              <w:rPr>
                <w:b/>
                <w:bCs/>
                <w:color w:val="FFFFFF"/>
                <w:sz w:val="19"/>
                <w:szCs w:val="19"/>
              </w:rPr>
              <w:t xml:space="preserve">Language</w:t>
            </w:r>
          </w:p>
        </w:tc>
        <w:tc>
          <w:tcPr>
            <w:tcW w:type="dxa" w:w="3200"/>
            <w:shd w:fill="1F3A5F" w:val="clear"/>
            <w:tcMar>
              <w:top w:type="dxa" w:w="80"/>
              <w:left w:type="dxa" w:w="110"/>
              <w:bottom w:type="dxa" w:w="80"/>
              <w:right w:type="dxa" w:w="110"/>
            </w:tcMar>
            <w:vAlign w:val="center"/>
          </w:tcPr>
          <w:p>
            <w:pPr>
              <w:spacing w:after="20" w:line="252"/>
            </w:pPr>
            <w:r>
              <w:rPr>
                <w:b/>
                <w:bCs/>
                <w:color w:val="FFFFFF"/>
                <w:sz w:val="19"/>
                <w:szCs w:val="19"/>
              </w:rPr>
              <w:t xml:space="preserve">Key Capabilities</w:t>
            </w:r>
          </w:p>
        </w:tc>
        <w:tc>
          <w:tcPr>
            <w:tcW w:type="dxa" w:w="1800"/>
            <w:shd w:fill="1F3A5F" w:val="clear"/>
            <w:tcMar>
              <w:top w:type="dxa" w:w="80"/>
              <w:left w:type="dxa" w:w="110"/>
              <w:bottom w:type="dxa" w:w="80"/>
              <w:right w:type="dxa" w:w="110"/>
            </w:tcMar>
            <w:vAlign w:val="center"/>
          </w:tcPr>
          <w:p>
            <w:pPr>
              <w:spacing w:after="20" w:line="252"/>
            </w:pPr>
            <w:r>
              <w:rPr>
                <w:b/>
                <w:bCs/>
                <w:color w:val="FFFFFF"/>
                <w:sz w:val="19"/>
                <w:szCs w:val="19"/>
              </w:rPr>
              <w:t xml:space="preserve">Regulations</w:t>
            </w:r>
          </w:p>
        </w:tc>
        <w:tc>
          <w:tcPr>
            <w:tcW w:type="dxa" w:w="1460"/>
            <w:shd w:fill="1F3A5F" w:val="clear"/>
            <w:tcMar>
              <w:top w:type="dxa" w:w="80"/>
              <w:left w:type="dxa" w:w="110"/>
              <w:bottom w:type="dxa" w:w="80"/>
              <w:right w:type="dxa" w:w="110"/>
            </w:tcMar>
            <w:vAlign w:val="center"/>
          </w:tcPr>
          <w:p>
            <w:pPr>
              <w:spacing w:after="20" w:line="252"/>
            </w:pPr>
            <w:r>
              <w:rPr>
                <w:b/>
                <w:bCs/>
                <w:color w:val="FFFFFF"/>
                <w:sz w:val="19"/>
                <w:szCs w:val="19"/>
              </w:rPr>
              <w:t xml:space="preserve">Maturity</w:t>
            </w:r>
          </w:p>
        </w:tc>
      </w:tr>
      <w:tr>
        <w:tc>
          <w:tcPr>
            <w:tcW w:type="dxa" w:w="1800"/>
            <w:shd w:fill="FFFFFF" w:val="clear"/>
            <w:tcMar>
              <w:top w:type="dxa" w:w="80"/>
              <w:left w:type="dxa" w:w="110"/>
              <w:bottom w:type="dxa" w:w="80"/>
              <w:right w:type="dxa" w:w="110"/>
            </w:tcMar>
            <w:vAlign w:val="center"/>
          </w:tcPr>
          <w:p>
            <w:pPr>
              <w:spacing w:after="20" w:line="252"/>
            </w:pPr>
            <w:r>
              <w:rPr>
                <w:color w:val="1E293B"/>
                <w:sz w:val="19"/>
                <w:szCs w:val="19"/>
              </w:rPr>
              <w:t xml:space="preserve">ai-governance-framework</w:t>
            </w:r>
          </w:p>
        </w:tc>
        <w:tc>
          <w:tcPr>
            <w:tcW w:type="dxa" w:w="1100"/>
            <w:shd w:fill="FFFFFF" w:val="clear"/>
            <w:tcMar>
              <w:top w:type="dxa" w:w="80"/>
              <w:left w:type="dxa" w:w="110"/>
              <w:bottom w:type="dxa" w:w="80"/>
              <w:right w:type="dxa" w:w="110"/>
            </w:tcMar>
            <w:vAlign w:val="center"/>
          </w:tcPr>
          <w:p>
            <w:pPr>
              <w:spacing w:after="20" w:line="252"/>
            </w:pPr>
            <w:r>
              <w:rPr>
                <w:color w:val="1E293B"/>
                <w:sz w:val="19"/>
                <w:szCs w:val="19"/>
              </w:rPr>
              <w:t xml:space="preserve">Python</w:t>
            </w:r>
          </w:p>
        </w:tc>
        <w:tc>
          <w:tcPr>
            <w:tcW w:type="dxa" w:w="3200"/>
            <w:shd w:fill="FFFFFF" w:val="clear"/>
            <w:tcMar>
              <w:top w:type="dxa" w:w="80"/>
              <w:left w:type="dxa" w:w="110"/>
              <w:bottom w:type="dxa" w:w="80"/>
              <w:right w:type="dxa" w:w="110"/>
            </w:tcMar>
            <w:vAlign w:val="center"/>
          </w:tcPr>
          <w:p>
            <w:pPr>
              <w:spacing w:after="20" w:line="252"/>
            </w:pPr>
            <w:r>
              <w:rPr>
                <w:color w:val="1E293B"/>
                <w:sz w:val="19"/>
                <w:szCs w:val="19"/>
              </w:rPr>
              <w:t xml:space="preserve">Risk scoring, data lineage validation, bias detection, model cards, dashboard</w:t>
            </w:r>
          </w:p>
        </w:tc>
        <w:tc>
          <w:tcPr>
            <w:tcW w:type="dxa" w:w="1800"/>
            <w:shd w:fill="FFFFFF" w:val="clear"/>
            <w:tcMar>
              <w:top w:type="dxa" w:w="80"/>
              <w:left w:type="dxa" w:w="110"/>
              <w:bottom w:type="dxa" w:w="80"/>
              <w:right w:type="dxa" w:w="110"/>
            </w:tcMar>
            <w:vAlign w:val="center"/>
          </w:tcPr>
          <w:p>
            <w:pPr>
              <w:spacing w:after="20" w:line="252"/>
            </w:pPr>
            <w:r>
              <w:rPr>
                <w:color w:val="1E293B"/>
                <w:sz w:val="19"/>
                <w:szCs w:val="19"/>
              </w:rPr>
              <w:t xml:space="preserve">NIST AI RMF, EU AI Act</w:t>
            </w:r>
          </w:p>
        </w:tc>
        <w:tc>
          <w:tcPr>
            <w:tcW w:type="dxa" w:w="1460"/>
            <w:shd w:fill="FFFFFF" w:val="clear"/>
            <w:tcMar>
              <w:top w:type="dxa" w:w="80"/>
              <w:left w:type="dxa" w:w="110"/>
              <w:bottom w:type="dxa" w:w="80"/>
              <w:right w:type="dxa" w:w="110"/>
            </w:tcMar>
            <w:vAlign w:val="center"/>
          </w:tcPr>
          <w:p>
            <w:pPr>
              <w:spacing w:after="20" w:line="252"/>
            </w:pPr>
            <w:r>
              <w:rPr>
                <w:color w:val="1E293B"/>
                <w:sz w:val="19"/>
                <w:szCs w:val="19"/>
              </w:rPr>
              <w:t xml:space="preserve">Enterprise-ready</w:t>
            </w:r>
          </w:p>
        </w:tc>
      </w:tr>
      <w:tr>
        <w:tc>
          <w:tcPr>
            <w:tcW w:type="dxa" w:w="1800"/>
            <w:shd w:fill="F1F5F9" w:val="clear"/>
            <w:tcMar>
              <w:top w:type="dxa" w:w="80"/>
              <w:left w:type="dxa" w:w="110"/>
              <w:bottom w:type="dxa" w:w="80"/>
              <w:right w:type="dxa" w:w="110"/>
            </w:tcMar>
            <w:vAlign w:val="center"/>
          </w:tcPr>
          <w:p>
            <w:pPr>
              <w:spacing w:after="20" w:line="252"/>
            </w:pPr>
            <w:r>
              <w:rPr>
                <w:color w:val="1E293B"/>
                <w:sz w:val="19"/>
                <w:szCs w:val="19"/>
              </w:rPr>
              <w:t xml:space="preserve">Assuro</w:t>
            </w:r>
          </w:p>
        </w:tc>
        <w:tc>
          <w:tcPr>
            <w:tcW w:type="dxa" w:w="1100"/>
            <w:shd w:fill="F1F5F9" w:val="clear"/>
            <w:tcMar>
              <w:top w:type="dxa" w:w="80"/>
              <w:left w:type="dxa" w:w="110"/>
              <w:bottom w:type="dxa" w:w="80"/>
              <w:right w:type="dxa" w:w="110"/>
            </w:tcMar>
            <w:vAlign w:val="center"/>
          </w:tcPr>
          <w:p>
            <w:pPr>
              <w:spacing w:after="20" w:line="252"/>
            </w:pPr>
            <w:r>
              <w:rPr>
                <w:color w:val="1E293B"/>
                <w:sz w:val="19"/>
                <w:szCs w:val="19"/>
              </w:rPr>
              <w:t xml:space="preserve">Go + TS</w:t>
            </w:r>
          </w:p>
        </w:tc>
        <w:tc>
          <w:tcPr>
            <w:tcW w:type="dxa" w:w="3200"/>
            <w:shd w:fill="F1F5F9" w:val="clear"/>
            <w:tcMar>
              <w:top w:type="dxa" w:w="80"/>
              <w:left w:type="dxa" w:w="110"/>
              <w:bottom w:type="dxa" w:w="80"/>
              <w:right w:type="dxa" w:w="110"/>
            </w:tcMar>
            <w:vAlign w:val="center"/>
          </w:tcPr>
          <w:p>
            <w:pPr>
              <w:spacing w:after="20" w:line="252"/>
            </w:pPr>
            <w:r>
              <w:rPr>
                <w:color w:val="1E293B"/>
                <w:sz w:val="19"/>
                <w:szCs w:val="19"/>
              </w:rPr>
              <w:t xml:space="preserve">System registry, risk scores, evidence tracking, SHA-256 audit logs, shadow AI discovery</w:t>
            </w:r>
          </w:p>
        </w:tc>
        <w:tc>
          <w:tcPr>
            <w:tcW w:type="dxa" w:w="1800"/>
            <w:shd w:fill="F1F5F9" w:val="clear"/>
            <w:tcMar>
              <w:top w:type="dxa" w:w="80"/>
              <w:left w:type="dxa" w:w="110"/>
              <w:bottom w:type="dxa" w:w="80"/>
              <w:right w:type="dxa" w:w="110"/>
            </w:tcMar>
            <w:vAlign w:val="center"/>
          </w:tcPr>
          <w:p>
            <w:pPr>
              <w:spacing w:after="20" w:line="252"/>
            </w:pPr>
            <w:r>
              <w:rPr>
                <w:color w:val="1E293B"/>
                <w:sz w:val="19"/>
                <w:szCs w:val="19"/>
              </w:rPr>
              <w:t xml:space="preserve">EU AI Act, NIST, ISO 42001</w:t>
            </w:r>
          </w:p>
        </w:tc>
        <w:tc>
          <w:tcPr>
            <w:tcW w:type="dxa" w:w="1460"/>
            <w:shd w:fill="F1F5F9" w:val="clear"/>
            <w:tcMar>
              <w:top w:type="dxa" w:w="80"/>
              <w:left w:type="dxa" w:w="110"/>
              <w:bottom w:type="dxa" w:w="80"/>
              <w:right w:type="dxa" w:w="110"/>
            </w:tcMar>
            <w:vAlign w:val="center"/>
          </w:tcPr>
          <w:p>
            <w:pPr>
              <w:spacing w:after="20" w:line="252"/>
            </w:pPr>
            <w:r>
              <w:rPr>
                <w:color w:val="1E293B"/>
                <w:sz w:val="19"/>
                <w:szCs w:val="19"/>
              </w:rPr>
              <w:t xml:space="preserve">Docker-ready</w:t>
            </w:r>
          </w:p>
        </w:tc>
      </w:tr>
      <w:tr>
        <w:tc>
          <w:tcPr>
            <w:tcW w:type="dxa" w:w="1800"/>
            <w:shd w:fill="FFFFFF" w:val="clear"/>
            <w:tcMar>
              <w:top w:type="dxa" w:w="80"/>
              <w:left w:type="dxa" w:w="110"/>
              <w:bottom w:type="dxa" w:w="80"/>
              <w:right w:type="dxa" w:w="110"/>
            </w:tcMar>
            <w:vAlign w:val="center"/>
          </w:tcPr>
          <w:p>
            <w:pPr>
              <w:spacing w:after="20" w:line="252"/>
            </w:pPr>
            <w:r>
              <w:rPr>
                <w:color w:val="1E293B"/>
                <w:sz w:val="19"/>
                <w:szCs w:val="19"/>
              </w:rPr>
              <w:t xml:space="preserve">checkpoint-ai</w:t>
            </w:r>
          </w:p>
        </w:tc>
        <w:tc>
          <w:tcPr>
            <w:tcW w:type="dxa" w:w="1100"/>
            <w:shd w:fill="FFFFFF" w:val="clear"/>
            <w:tcMar>
              <w:top w:type="dxa" w:w="80"/>
              <w:left w:type="dxa" w:w="110"/>
              <w:bottom w:type="dxa" w:w="80"/>
              <w:right w:type="dxa" w:w="110"/>
            </w:tcMar>
            <w:vAlign w:val="center"/>
          </w:tcPr>
          <w:p>
            <w:pPr>
              <w:spacing w:after="20" w:line="252"/>
            </w:pPr>
            <w:r>
              <w:rPr>
                <w:color w:val="1E293B"/>
                <w:sz w:val="19"/>
                <w:szCs w:val="19"/>
              </w:rPr>
              <w:t xml:space="preserve">Python</w:t>
            </w:r>
          </w:p>
        </w:tc>
        <w:tc>
          <w:tcPr>
            <w:tcW w:type="dxa" w:w="3200"/>
            <w:shd w:fill="FFFFFF" w:val="clear"/>
            <w:tcMar>
              <w:top w:type="dxa" w:w="80"/>
              <w:left w:type="dxa" w:w="110"/>
              <w:bottom w:type="dxa" w:w="80"/>
              <w:right w:type="dxa" w:w="110"/>
            </w:tcMar>
            <w:vAlign w:val="center"/>
          </w:tcPr>
          <w:p>
            <w:pPr>
              <w:spacing w:after="20" w:line="252"/>
            </w:pPr>
            <w:r>
              <w:rPr>
                <w:color w:val="1E293B"/>
                <w:sz w:val="19"/>
                <w:szCs w:val="19"/>
              </w:rPr>
              <w:t xml:space="preserve">Self-assessment, OSCAL SSP generation, CI gating (SARIF), MCP-native</w:t>
            </w:r>
          </w:p>
        </w:tc>
        <w:tc>
          <w:tcPr>
            <w:tcW w:type="dxa" w:w="1800"/>
            <w:shd w:fill="FFFFFF" w:val="clear"/>
            <w:tcMar>
              <w:top w:type="dxa" w:w="80"/>
              <w:left w:type="dxa" w:w="110"/>
              <w:bottom w:type="dxa" w:w="80"/>
              <w:right w:type="dxa" w:w="110"/>
            </w:tcMar>
            <w:vAlign w:val="center"/>
          </w:tcPr>
          <w:p>
            <w:pPr>
              <w:spacing w:after="20" w:line="252"/>
            </w:pPr>
            <w:r>
              <w:rPr>
                <w:color w:val="1E293B"/>
                <w:sz w:val="19"/>
                <w:szCs w:val="19"/>
              </w:rPr>
              <w:t xml:space="preserve">NIST, EU AI Act, ISO 42001</w:t>
            </w:r>
          </w:p>
        </w:tc>
        <w:tc>
          <w:tcPr>
            <w:tcW w:type="dxa" w:w="1460"/>
            <w:shd w:fill="FFFFFF" w:val="clear"/>
            <w:tcMar>
              <w:top w:type="dxa" w:w="80"/>
              <w:left w:type="dxa" w:w="110"/>
              <w:bottom w:type="dxa" w:w="80"/>
              <w:right w:type="dxa" w:w="110"/>
            </w:tcMar>
            <w:vAlign w:val="center"/>
          </w:tcPr>
          <w:p>
            <w:pPr>
              <w:spacing w:after="20" w:line="252"/>
            </w:pPr>
            <w:r>
              <w:rPr>
                <w:color w:val="1E293B"/>
                <w:sz w:val="19"/>
                <w:szCs w:val="19"/>
              </w:rPr>
              <w:t xml:space="preserve">PyPI published</w:t>
            </w:r>
          </w:p>
        </w:tc>
      </w:tr>
      <w:tr>
        <w:tc>
          <w:tcPr>
            <w:tcW w:type="dxa" w:w="1800"/>
            <w:shd w:fill="F1F5F9" w:val="clear"/>
            <w:tcMar>
              <w:top w:type="dxa" w:w="80"/>
              <w:left w:type="dxa" w:w="110"/>
              <w:bottom w:type="dxa" w:w="80"/>
              <w:right w:type="dxa" w:w="110"/>
            </w:tcMar>
            <w:vAlign w:val="center"/>
          </w:tcPr>
          <w:p>
            <w:pPr>
              <w:spacing w:after="20" w:line="252"/>
            </w:pPr>
            <w:r>
              <w:rPr>
                <w:color w:val="1E293B"/>
                <w:sz w:val="19"/>
                <w:szCs w:val="19"/>
              </w:rPr>
              <w:t xml:space="preserve">OPA NIST AI RMF</w:t>
            </w:r>
          </w:p>
        </w:tc>
        <w:tc>
          <w:tcPr>
            <w:tcW w:type="dxa" w:w="1100"/>
            <w:shd w:fill="F1F5F9" w:val="clear"/>
            <w:tcMar>
              <w:top w:type="dxa" w:w="80"/>
              <w:left w:type="dxa" w:w="110"/>
              <w:bottom w:type="dxa" w:w="80"/>
              <w:right w:type="dxa" w:w="110"/>
            </w:tcMar>
            <w:vAlign w:val="center"/>
          </w:tcPr>
          <w:p>
            <w:pPr>
              <w:spacing w:after="20" w:line="252"/>
            </w:pPr>
            <w:r>
              <w:rPr>
                <w:color w:val="1E293B"/>
                <w:sz w:val="19"/>
                <w:szCs w:val="19"/>
              </w:rPr>
              <w:t xml:space="preserve">Rego</w:t>
            </w:r>
          </w:p>
        </w:tc>
        <w:tc>
          <w:tcPr>
            <w:tcW w:type="dxa" w:w="3200"/>
            <w:shd w:fill="F1F5F9" w:val="clear"/>
            <w:tcMar>
              <w:top w:type="dxa" w:w="80"/>
              <w:left w:type="dxa" w:w="110"/>
              <w:bottom w:type="dxa" w:w="80"/>
              <w:right w:type="dxa" w:w="110"/>
            </w:tcMar>
            <w:vAlign w:val="center"/>
          </w:tcPr>
          <w:p>
            <w:pPr>
              <w:spacing w:after="20" w:line="252"/>
            </w:pPr>
            <w:r>
              <w:rPr>
                <w:color w:val="1E293B"/>
                <w:sz w:val="19"/>
                <w:szCs w:val="19"/>
              </w:rPr>
              <w:t xml:space="preserve">12 deploy-time rules, K8s admission, Terraform validation, CI checks</w:t>
            </w:r>
          </w:p>
        </w:tc>
        <w:tc>
          <w:tcPr>
            <w:tcW w:type="dxa" w:w="1800"/>
            <w:shd w:fill="F1F5F9" w:val="clear"/>
            <w:tcMar>
              <w:top w:type="dxa" w:w="80"/>
              <w:left w:type="dxa" w:w="110"/>
              <w:bottom w:type="dxa" w:w="80"/>
              <w:right w:type="dxa" w:w="110"/>
            </w:tcMar>
            <w:vAlign w:val="center"/>
          </w:tcPr>
          <w:p>
            <w:pPr>
              <w:spacing w:after="20" w:line="252"/>
            </w:pPr>
            <w:r>
              <w:rPr>
                <w:color w:val="1E293B"/>
                <w:sz w:val="19"/>
                <w:szCs w:val="19"/>
              </w:rPr>
              <w:t xml:space="preserve">NIST AI RMF, EU AI Act</w:t>
            </w:r>
          </w:p>
        </w:tc>
        <w:tc>
          <w:tcPr>
            <w:tcW w:type="dxa" w:w="1460"/>
            <w:shd w:fill="F1F5F9" w:val="clear"/>
            <w:tcMar>
              <w:top w:type="dxa" w:w="80"/>
              <w:left w:type="dxa" w:w="110"/>
              <w:bottom w:type="dxa" w:w="80"/>
              <w:right w:type="dxa" w:w="110"/>
            </w:tcMar>
            <w:vAlign w:val="center"/>
          </w:tcPr>
          <w:p>
            <w:pPr>
              <w:spacing w:after="20" w:line="252"/>
            </w:pPr>
            <w:r>
              <w:rPr>
                <w:color w:val="1E293B"/>
                <w:sz w:val="19"/>
                <w:szCs w:val="19"/>
              </w:rPr>
              <w:t xml:space="preserve">MIT reference</w:t>
            </w:r>
          </w:p>
        </w:tc>
      </w:tr>
      <w:tr>
        <w:tc>
          <w:tcPr>
            <w:tcW w:type="dxa" w:w="1800"/>
            <w:shd w:fill="FFFFFF" w:val="clear"/>
            <w:tcMar>
              <w:top w:type="dxa" w:w="80"/>
              <w:left w:type="dxa" w:w="110"/>
              <w:bottom w:type="dxa" w:w="80"/>
              <w:right w:type="dxa" w:w="110"/>
            </w:tcMar>
            <w:vAlign w:val="center"/>
          </w:tcPr>
          <w:p>
            <w:pPr>
              <w:spacing w:after="20" w:line="252"/>
            </w:pPr>
            <w:r>
              <w:rPr>
                <w:color w:val="1E293B"/>
                <w:sz w:val="19"/>
                <w:szCs w:val="19"/>
              </w:rPr>
              <w:t xml:space="preserve">WandB RAI Toolkit</w:t>
            </w:r>
          </w:p>
        </w:tc>
        <w:tc>
          <w:tcPr>
            <w:tcW w:type="dxa" w:w="1100"/>
            <w:shd w:fill="FFFFFF" w:val="clear"/>
            <w:tcMar>
              <w:top w:type="dxa" w:w="80"/>
              <w:left w:type="dxa" w:w="110"/>
              <w:bottom w:type="dxa" w:w="80"/>
              <w:right w:type="dxa" w:w="110"/>
            </w:tcMar>
            <w:vAlign w:val="center"/>
          </w:tcPr>
          <w:p>
            <w:pPr>
              <w:spacing w:after="20" w:line="252"/>
            </w:pPr>
            <w:r>
              <w:rPr>
                <w:color w:val="1E293B"/>
                <w:sz w:val="19"/>
                <w:szCs w:val="19"/>
              </w:rPr>
              <w:t xml:space="preserve">Python</w:t>
            </w:r>
          </w:p>
        </w:tc>
        <w:tc>
          <w:tcPr>
            <w:tcW w:type="dxa" w:w="3200"/>
            <w:shd w:fill="FFFFFF" w:val="clear"/>
            <w:tcMar>
              <w:top w:type="dxa" w:w="80"/>
              <w:left w:type="dxa" w:w="110"/>
              <w:bottom w:type="dxa" w:w="80"/>
              <w:right w:type="dxa" w:w="110"/>
            </w:tcMar>
            <w:vAlign w:val="center"/>
          </w:tcPr>
          <w:p>
            <w:pPr>
              <w:spacing w:after="20" w:line="252"/>
            </w:pPr>
            <w:r>
              <w:rPr>
                <w:color w:val="1E293B"/>
                <w:sz w:val="19"/>
                <w:szCs w:val="19"/>
              </w:rPr>
              <w:t xml:space="preserve">Red-teaming (32 attacks), policy checks, evidence reports, industry presets</w:t>
            </w:r>
          </w:p>
        </w:tc>
        <w:tc>
          <w:tcPr>
            <w:tcW w:type="dxa" w:w="1800"/>
            <w:shd w:fill="FFFFFF" w:val="clear"/>
            <w:tcMar>
              <w:top w:type="dxa" w:w="80"/>
              <w:left w:type="dxa" w:w="110"/>
              <w:bottom w:type="dxa" w:w="80"/>
              <w:right w:type="dxa" w:w="110"/>
            </w:tcMar>
            <w:vAlign w:val="center"/>
          </w:tcPr>
          <w:p>
            <w:pPr>
              <w:spacing w:after="20" w:line="252"/>
            </w:pPr>
            <w:r>
              <w:rPr>
                <w:color w:val="1E293B"/>
                <w:sz w:val="19"/>
                <w:szCs w:val="19"/>
              </w:rPr>
              <w:t xml:space="preserve">NIST, EU AI Act, MIT Risk Repo</w:t>
            </w:r>
          </w:p>
        </w:tc>
        <w:tc>
          <w:tcPr>
            <w:tcW w:type="dxa" w:w="1460"/>
            <w:shd w:fill="FFFFFF" w:val="clear"/>
            <w:tcMar>
              <w:top w:type="dxa" w:w="80"/>
              <w:left w:type="dxa" w:w="110"/>
              <w:bottom w:type="dxa" w:w="80"/>
              <w:right w:type="dxa" w:w="110"/>
            </w:tcMar>
            <w:vAlign w:val="center"/>
          </w:tcPr>
          <w:p>
            <w:pPr>
              <w:spacing w:after="20" w:line="252"/>
            </w:pPr>
            <w:r>
              <w:rPr>
                <w:color w:val="1E293B"/>
                <w:sz w:val="19"/>
                <w:szCs w:val="19"/>
              </w:rPr>
              <w:t xml:space="preserve">Active</w:t>
            </w:r>
          </w:p>
        </w:tc>
      </w:tr>
    </w:tbl>
    <w:p>
      <w:pPr>
        <w:spacing w:after="120"/>
      </w:pPr>
    </w:p>
    <w:p>
      <w:pPr>
        <w:pStyle w:val="Heading2"/>
      </w:pPr>
      <w:r>
        <w:t xml:space="preserve">3.1  Assuro (recommended starting point)</w:t>
      </w:r>
    </w:p>
    <w:p>
      <w:pPr>
        <w:spacing w:after="120" w:line="276"/>
      </w:pPr>
      <w:r>
        <w:rPr>
          <w:sz w:val="21"/>
          <w:szCs w:val="21"/>
        </w:rPr>
        <w:t xml:space="preserve">Assuro is the most complete single-deployment option. It ships EU AI Act, NIST AI RMF 1.0 and ISO/IEC 42001 pre-loaded with control mappings. Its extensible connector framework scans AWS Bedrock, Azure AI, GCP Vertex AI, GitHub repositories and HuggingFace Hub to discover shadow AI automatically.</w:t>
      </w:r>
    </w:p>
    <w:p>
      <w:pPr>
        <w:pStyle w:val="ListParagraph"/>
        <w:numPr>
          <w:ilvl w:val="0"/>
          <w:numId w:val="2"/>
        </w:numPr>
        <w:spacing w:after="60" w:line="264"/>
      </w:pPr>
      <w:r>
        <w:rPr>
          <w:b/>
          <w:bCs/>
          <w:sz w:val="21"/>
          <w:szCs w:val="21"/>
        </w:rPr>
        <w:t xml:space="preserve">Risk engine: </w:t>
      </w:r>
      <w:r>
        <w:rPr>
          <w:sz w:val="21"/>
          <w:szCs w:val="21"/>
        </w:rPr>
        <w:t xml:space="preserve">Computes weighted risk scores based on assessment findings, incident history and monitoring data. Scores are stored historically.</w:t>
      </w:r>
    </w:p>
    <w:p>
      <w:pPr>
        <w:pStyle w:val="ListParagraph"/>
        <w:numPr>
          <w:ilvl w:val="0"/>
          <w:numId w:val="2"/>
        </w:numPr>
        <w:spacing w:after="60" w:line="264"/>
      </w:pPr>
      <w:r>
        <w:rPr>
          <w:b/>
          <w:bCs/>
          <w:sz w:val="21"/>
          <w:szCs w:val="21"/>
        </w:rPr>
        <w:t xml:space="preserve">Audit trail: </w:t>
      </w:r>
      <w:r>
        <w:rPr>
          <w:sz w:val="21"/>
          <w:szCs w:val="21"/>
        </w:rPr>
        <w:t xml:space="preserve">Every mutation is written to a tamper-evident log with SHA-256 hashes on generated reports.</w:t>
      </w:r>
    </w:p>
    <w:p>
      <w:pPr>
        <w:pStyle w:val="ListParagraph"/>
        <w:numPr>
          <w:ilvl w:val="0"/>
          <w:numId w:val="2"/>
        </w:numPr>
        <w:spacing w:after="60" w:line="264"/>
      </w:pPr>
      <w:r>
        <w:rPr>
          <w:b/>
          <w:bCs/>
          <w:sz w:val="21"/>
          <w:szCs w:val="21"/>
        </w:rPr>
        <w:t xml:space="preserve">Test suites: </w:t>
      </w:r>
      <w:r>
        <w:rPr>
          <w:sz w:val="21"/>
          <w:szCs w:val="21"/>
        </w:rPr>
        <w:t xml:space="preserve">Define tests by category (functional, bias, robustness, security) with expected outcomes. Failed runs trigger alerts and feed risk scores.</w:t>
      </w:r>
    </w:p>
    <w:p>
      <w:pPr>
        <w:spacing w:after="120"/>
      </w:pPr>
    </w:p>
    <w:p>
      <w:pPr>
        <w:pStyle w:val="Heading2"/>
      </w:pPr>
      <w:r>
        <w:t xml:space="preserve">3.2  OPA NIST AI RMF (policy-as-code)</w:t>
      </w:r>
    </w:p>
    <w:p>
      <w:pPr>
        <w:spacing w:after="120" w:line="276"/>
      </w:pPr>
      <w:r>
        <w:rPr>
          <w:sz w:val="21"/>
          <w:szCs w:val="21"/>
        </w:rPr>
        <w:t xml:space="preserve">This bundle turns NIST controls into deploy-time machine checks. Each rule maps to a specific NIST AI RMF control and (where applicable) EU AI Act articles: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200"/>
        <w:gridCol w:w="2800"/>
        <w:gridCol w:w="3360"/>
      </w:tblGrid>
      <w:tr>
        <w:trPr>
          <w:tblHeader/>
        </w:trPr>
        <w:tc>
          <w:tcPr>
            <w:tcW w:type="dxa" w:w="3200"/>
            <w:shd w:fill="1F3A5F" w:val="clear"/>
            <w:tcMar>
              <w:top w:type="dxa" w:w="80"/>
              <w:left w:type="dxa" w:w="110"/>
              <w:bottom w:type="dxa" w:w="80"/>
              <w:right w:type="dxa" w:w="110"/>
            </w:tcMar>
            <w:vAlign w:val="center"/>
          </w:tcPr>
          <w:p>
            <w:pPr>
              <w:spacing w:after="20" w:line="252"/>
            </w:pPr>
            <w:r>
              <w:rPr>
                <w:b/>
                <w:bCs/>
                <w:color w:val="FFFFFF"/>
                <w:sz w:val="19"/>
                <w:szCs w:val="19"/>
              </w:rPr>
              <w:t xml:space="preserve">Rule</w:t>
            </w:r>
          </w:p>
        </w:tc>
        <w:tc>
          <w:tcPr>
            <w:tcW w:type="dxa" w:w="2800"/>
            <w:shd w:fill="1F3A5F" w:val="clear"/>
            <w:tcMar>
              <w:top w:type="dxa" w:w="80"/>
              <w:left w:type="dxa" w:w="110"/>
              <w:bottom w:type="dxa" w:w="80"/>
              <w:right w:type="dxa" w:w="110"/>
            </w:tcMar>
            <w:vAlign w:val="center"/>
          </w:tcPr>
          <w:p>
            <w:pPr>
              <w:spacing w:after="20" w:line="252"/>
            </w:pPr>
            <w:r>
              <w:rPr>
                <w:b/>
                <w:bCs/>
                <w:color w:val="FFFFFF"/>
                <w:sz w:val="19"/>
                <w:szCs w:val="19"/>
              </w:rPr>
              <w:t xml:space="preserve">NIST / EU AI Act mapping</w:t>
            </w:r>
          </w:p>
        </w:tc>
        <w:tc>
          <w:tcPr>
            <w:tcW w:type="dxa" w:w="3360"/>
            <w:shd w:fill="1F3A5F" w:val="clear"/>
            <w:tcMar>
              <w:top w:type="dxa" w:w="80"/>
              <w:left w:type="dxa" w:w="110"/>
              <w:bottom w:type="dxa" w:w="80"/>
              <w:right w:type="dxa" w:w="110"/>
            </w:tcMar>
            <w:vAlign w:val="center"/>
          </w:tcPr>
          <w:p>
            <w:pPr>
              <w:spacing w:after="20" w:line="252"/>
            </w:pPr>
            <w:r>
              <w:rPr>
                <w:b/>
                <w:bCs/>
                <w:color w:val="FFFFFF"/>
                <w:sz w:val="19"/>
                <w:szCs w:val="19"/>
              </w:rPr>
              <w:t xml:space="preserve">What it enforces</w:t>
            </w:r>
          </w:p>
        </w:tc>
      </w:tr>
      <w:tr>
        <w:tc>
          <w:tcPr>
            <w:tcW w:type="dxa" w:w="3200"/>
            <w:shd w:fill="FFFFFF" w:val="clear"/>
            <w:tcMar>
              <w:top w:type="dxa" w:w="80"/>
              <w:left w:type="dxa" w:w="110"/>
              <w:bottom w:type="dxa" w:w="80"/>
              <w:right w:type="dxa" w:w="110"/>
            </w:tcMar>
            <w:vAlign w:val="center"/>
          </w:tcPr>
          <w:p>
            <w:pPr>
              <w:spacing w:after="20" w:line="252"/>
            </w:pPr>
            <w:r>
              <w:rPr>
                <w:color w:val="1E293B"/>
                <w:sz w:val="19"/>
                <w:szCs w:val="19"/>
              </w:rPr>
              <w:t xml:space="preserve">risk_tier_declared</w:t>
            </w:r>
          </w:p>
        </w:tc>
        <w:tc>
          <w:tcPr>
            <w:tcW w:type="dxa" w:w="2800"/>
            <w:shd w:fill="FFFFFF" w:val="clear"/>
            <w:tcMar>
              <w:top w:type="dxa" w:w="80"/>
              <w:left w:type="dxa" w:w="110"/>
              <w:bottom w:type="dxa" w:w="80"/>
              <w:right w:type="dxa" w:w="110"/>
            </w:tcMar>
            <w:vAlign w:val="center"/>
          </w:tcPr>
          <w:p>
            <w:pPr>
              <w:spacing w:after="20" w:line="252"/>
            </w:pPr>
            <w:r>
              <w:rPr>
                <w:color w:val="1E293B"/>
                <w:sz w:val="19"/>
                <w:szCs w:val="19"/>
              </w:rPr>
              <w:t xml:space="preserve">GOVERN-2, EU Art. 9</w:t>
            </w:r>
          </w:p>
        </w:tc>
        <w:tc>
          <w:tcPr>
            <w:tcW w:type="dxa" w:w="3360"/>
            <w:shd w:fill="FFFFFF" w:val="clear"/>
            <w:tcMar>
              <w:top w:type="dxa" w:w="80"/>
              <w:left w:type="dxa" w:w="110"/>
              <w:bottom w:type="dxa" w:w="80"/>
              <w:right w:type="dxa" w:w="110"/>
            </w:tcMar>
            <w:vAlign w:val="center"/>
          </w:tcPr>
          <w:p>
            <w:pPr>
              <w:spacing w:after="20" w:line="252"/>
            </w:pPr>
            <w:r>
              <w:rPr>
                <w:color w:val="1E293B"/>
                <w:sz w:val="19"/>
                <w:szCs w:val="19"/>
              </w:rPr>
              <w:t xml:space="preserve">Workload must declare risk tier with rationale</w:t>
            </w:r>
          </w:p>
        </w:tc>
      </w:tr>
      <w:tr>
        <w:tc>
          <w:tcPr>
            <w:tcW w:type="dxa" w:w="3200"/>
            <w:shd w:fill="F1F5F9" w:val="clear"/>
            <w:tcMar>
              <w:top w:type="dxa" w:w="80"/>
              <w:left w:type="dxa" w:w="110"/>
              <w:bottom w:type="dxa" w:w="80"/>
              <w:right w:type="dxa" w:w="110"/>
            </w:tcMar>
            <w:vAlign w:val="center"/>
          </w:tcPr>
          <w:p>
            <w:pPr>
              <w:spacing w:after="20" w:line="252"/>
            </w:pPr>
            <w:r>
              <w:rPr>
                <w:color w:val="1E293B"/>
                <w:sz w:val="19"/>
                <w:szCs w:val="19"/>
              </w:rPr>
              <w:t xml:space="preserve">data_lineage_attached</w:t>
            </w:r>
          </w:p>
        </w:tc>
        <w:tc>
          <w:tcPr>
            <w:tcW w:type="dxa" w:w="2800"/>
            <w:shd w:fill="F1F5F9" w:val="clear"/>
            <w:tcMar>
              <w:top w:type="dxa" w:w="80"/>
              <w:left w:type="dxa" w:w="110"/>
              <w:bottom w:type="dxa" w:w="80"/>
              <w:right w:type="dxa" w:w="110"/>
            </w:tcMar>
            <w:vAlign w:val="center"/>
          </w:tcPr>
          <w:p>
            <w:pPr>
              <w:spacing w:after="20" w:line="252"/>
            </w:pPr>
            <w:r>
              <w:rPr>
                <w:color w:val="1E293B"/>
                <w:sz w:val="19"/>
                <w:szCs w:val="19"/>
              </w:rPr>
              <w:t xml:space="preserve">MAP-2, EU Art. 10</w:t>
            </w:r>
          </w:p>
        </w:tc>
        <w:tc>
          <w:tcPr>
            <w:tcW w:type="dxa" w:w="3360"/>
            <w:shd w:fill="F1F5F9" w:val="clear"/>
            <w:tcMar>
              <w:top w:type="dxa" w:w="80"/>
              <w:left w:type="dxa" w:w="110"/>
              <w:bottom w:type="dxa" w:w="80"/>
              <w:right w:type="dxa" w:w="110"/>
            </w:tcMar>
            <w:vAlign w:val="center"/>
          </w:tcPr>
          <w:p>
            <w:pPr>
              <w:spacing w:after="20" w:line="252"/>
            </w:pPr>
            <w:r>
              <w:rPr>
                <w:color w:val="1E293B"/>
                <w:sz w:val="19"/>
                <w:szCs w:val="19"/>
              </w:rPr>
              <w:t xml:space="preserve">Reference to data lineage required</w:t>
            </w:r>
          </w:p>
        </w:tc>
      </w:tr>
      <w:tr>
        <w:tc>
          <w:tcPr>
            <w:tcW w:type="dxa" w:w="3200"/>
            <w:shd w:fill="FFFFFF" w:val="clear"/>
            <w:tcMar>
              <w:top w:type="dxa" w:w="80"/>
              <w:left w:type="dxa" w:w="110"/>
              <w:bottom w:type="dxa" w:w="80"/>
              <w:right w:type="dxa" w:w="110"/>
            </w:tcMar>
            <w:vAlign w:val="center"/>
          </w:tcPr>
          <w:p>
            <w:pPr>
              <w:spacing w:after="20" w:line="252"/>
            </w:pPr>
            <w:r>
              <w:rPr>
                <w:color w:val="1E293B"/>
                <w:sz w:val="19"/>
                <w:szCs w:val="19"/>
              </w:rPr>
              <w:t xml:space="preserve">eval_set_required</w:t>
            </w:r>
          </w:p>
        </w:tc>
        <w:tc>
          <w:tcPr>
            <w:tcW w:type="dxa" w:w="2800"/>
            <w:shd w:fill="FFFFFF" w:val="clear"/>
            <w:tcMar>
              <w:top w:type="dxa" w:w="80"/>
              <w:left w:type="dxa" w:w="110"/>
              <w:bottom w:type="dxa" w:w="80"/>
              <w:right w:type="dxa" w:w="110"/>
            </w:tcMar>
            <w:vAlign w:val="center"/>
          </w:tcPr>
          <w:p>
            <w:pPr>
              <w:spacing w:after="20" w:line="252"/>
            </w:pPr>
            <w:r>
              <w:rPr>
                <w:color w:val="1E293B"/>
                <w:sz w:val="19"/>
                <w:szCs w:val="19"/>
              </w:rPr>
              <w:t xml:space="preserve">MEASURE-2.7, AI 600-1</w:t>
            </w:r>
          </w:p>
        </w:tc>
        <w:tc>
          <w:tcPr>
            <w:tcW w:type="dxa" w:w="3360"/>
            <w:shd w:fill="FFFFFF" w:val="clear"/>
            <w:tcMar>
              <w:top w:type="dxa" w:w="80"/>
              <w:left w:type="dxa" w:w="110"/>
              <w:bottom w:type="dxa" w:w="80"/>
              <w:right w:type="dxa" w:w="110"/>
            </w:tcMar>
            <w:vAlign w:val="center"/>
          </w:tcPr>
          <w:p>
            <w:pPr>
              <w:spacing w:after="20" w:line="252"/>
            </w:pPr>
            <w:r>
              <w:rPr>
                <w:color w:val="1E293B"/>
                <w:sz w:val="19"/>
                <w:szCs w:val="19"/>
              </w:rPr>
              <w:t xml:space="preserve">Active eval set required on prod deploys</w:t>
            </w:r>
          </w:p>
        </w:tc>
      </w:tr>
      <w:tr>
        <w:tc>
          <w:tcPr>
            <w:tcW w:type="dxa" w:w="3200"/>
            <w:shd w:fill="F1F5F9" w:val="clear"/>
            <w:tcMar>
              <w:top w:type="dxa" w:w="80"/>
              <w:left w:type="dxa" w:w="110"/>
              <w:bottom w:type="dxa" w:w="80"/>
              <w:right w:type="dxa" w:w="110"/>
            </w:tcMar>
            <w:vAlign w:val="center"/>
          </w:tcPr>
          <w:p>
            <w:pPr>
              <w:spacing w:after="20" w:line="252"/>
            </w:pPr>
            <w:r>
              <w:rPr>
                <w:color w:val="1E293B"/>
                <w:sz w:val="19"/>
                <w:szCs w:val="19"/>
              </w:rPr>
              <w:t xml:space="preserve">prompt_versioned</w:t>
            </w:r>
          </w:p>
        </w:tc>
        <w:tc>
          <w:tcPr>
            <w:tcW w:type="dxa" w:w="2800"/>
            <w:shd w:fill="F1F5F9" w:val="clear"/>
            <w:tcMar>
              <w:top w:type="dxa" w:w="80"/>
              <w:left w:type="dxa" w:w="110"/>
              <w:bottom w:type="dxa" w:w="80"/>
              <w:right w:type="dxa" w:w="110"/>
            </w:tcMar>
            <w:vAlign w:val="center"/>
          </w:tcPr>
          <w:p>
            <w:pPr>
              <w:spacing w:after="20" w:line="252"/>
            </w:pPr>
            <w:r>
              <w:rPr>
                <w:color w:val="1E293B"/>
                <w:sz w:val="19"/>
                <w:szCs w:val="19"/>
              </w:rPr>
              <w:t xml:space="preserve">MEASURE-2.7</w:t>
            </w:r>
          </w:p>
        </w:tc>
        <w:tc>
          <w:tcPr>
            <w:tcW w:type="dxa" w:w="3360"/>
            <w:shd w:fill="F1F5F9" w:val="clear"/>
            <w:tcMar>
              <w:top w:type="dxa" w:w="80"/>
              <w:left w:type="dxa" w:w="110"/>
              <w:bottom w:type="dxa" w:w="80"/>
              <w:right w:type="dxa" w:w="110"/>
            </w:tcMar>
            <w:vAlign w:val="center"/>
          </w:tcPr>
          <w:p>
            <w:pPr>
              <w:spacing w:after="20" w:line="252"/>
            </w:pPr>
            <w:r>
              <w:rPr>
                <w:color w:val="1E293B"/>
                <w:sz w:val="19"/>
                <w:szCs w:val="19"/>
              </w:rPr>
              <w:t xml:space="preserve">Inline prompts blocked; registry reference required</w:t>
            </w:r>
          </w:p>
        </w:tc>
      </w:tr>
      <w:tr>
        <w:tc>
          <w:tcPr>
            <w:tcW w:type="dxa" w:w="3200"/>
            <w:shd w:fill="FFFFFF" w:val="clear"/>
            <w:tcMar>
              <w:top w:type="dxa" w:w="80"/>
              <w:left w:type="dxa" w:w="110"/>
              <w:bottom w:type="dxa" w:w="80"/>
              <w:right w:type="dxa" w:w="110"/>
            </w:tcMar>
            <w:vAlign w:val="center"/>
          </w:tcPr>
          <w:p>
            <w:pPr>
              <w:spacing w:after="20" w:line="252"/>
            </w:pPr>
            <w:r>
              <w:rPr>
                <w:color w:val="1E293B"/>
                <w:sz w:val="19"/>
                <w:szCs w:val="19"/>
              </w:rPr>
              <w:t xml:space="preserve">audit_evidence_sink</w:t>
            </w:r>
          </w:p>
        </w:tc>
        <w:tc>
          <w:tcPr>
            <w:tcW w:type="dxa" w:w="2800"/>
            <w:shd w:fill="FFFFFF" w:val="clear"/>
            <w:tcMar>
              <w:top w:type="dxa" w:w="80"/>
              <w:left w:type="dxa" w:w="110"/>
              <w:bottom w:type="dxa" w:w="80"/>
              <w:right w:type="dxa" w:w="110"/>
            </w:tcMar>
            <w:vAlign w:val="center"/>
          </w:tcPr>
          <w:p>
            <w:pPr>
              <w:spacing w:after="20" w:line="252"/>
            </w:pPr>
            <w:r>
              <w:rPr>
                <w:color w:val="1E293B"/>
                <w:sz w:val="19"/>
                <w:szCs w:val="19"/>
              </w:rPr>
              <w:t xml:space="preserve">MEASURE-3.3, EU Art. 12</w:t>
            </w:r>
          </w:p>
        </w:tc>
        <w:tc>
          <w:tcPr>
            <w:tcW w:type="dxa" w:w="3360"/>
            <w:shd w:fill="FFFFFF" w:val="clear"/>
            <w:tcMar>
              <w:top w:type="dxa" w:w="80"/>
              <w:left w:type="dxa" w:w="110"/>
              <w:bottom w:type="dxa" w:w="80"/>
              <w:right w:type="dxa" w:w="110"/>
            </w:tcMar>
            <w:vAlign w:val="center"/>
          </w:tcPr>
          <w:p>
            <w:pPr>
              <w:spacing w:after="20" w:line="252"/>
            </w:pPr>
            <w:r>
              <w:rPr>
                <w:color w:val="1E293B"/>
                <w:sz w:val="19"/>
                <w:szCs w:val="19"/>
              </w:rPr>
              <w:t xml:space="preserve">Audit sink + retention policy declared</w:t>
            </w:r>
          </w:p>
        </w:tc>
      </w:tr>
      <w:tr>
        <w:tc>
          <w:tcPr>
            <w:tcW w:type="dxa" w:w="3200"/>
            <w:shd w:fill="F1F5F9" w:val="clear"/>
            <w:tcMar>
              <w:top w:type="dxa" w:w="80"/>
              <w:left w:type="dxa" w:w="110"/>
              <w:bottom w:type="dxa" w:w="80"/>
              <w:right w:type="dxa" w:w="110"/>
            </w:tcMar>
            <w:vAlign w:val="center"/>
          </w:tcPr>
          <w:p>
            <w:pPr>
              <w:spacing w:after="20" w:line="252"/>
            </w:pPr>
            <w:r>
              <w:rPr>
                <w:color w:val="1E293B"/>
                <w:sz w:val="19"/>
                <w:szCs w:val="19"/>
              </w:rPr>
              <w:t xml:space="preserve">human_oversight_pattern</w:t>
            </w:r>
          </w:p>
        </w:tc>
        <w:tc>
          <w:tcPr>
            <w:tcW w:type="dxa" w:w="2800"/>
            <w:shd w:fill="F1F5F9" w:val="clear"/>
            <w:tcMar>
              <w:top w:type="dxa" w:w="80"/>
              <w:left w:type="dxa" w:w="110"/>
              <w:bottom w:type="dxa" w:w="80"/>
              <w:right w:type="dxa" w:w="110"/>
            </w:tcMar>
            <w:vAlign w:val="center"/>
          </w:tcPr>
          <w:p>
            <w:pPr>
              <w:spacing w:after="20" w:line="252"/>
            </w:pPr>
            <w:r>
              <w:rPr>
                <w:color w:val="1E293B"/>
                <w:sz w:val="19"/>
                <w:szCs w:val="19"/>
              </w:rPr>
              <w:t xml:space="preserve">GOVERN-3, EU Art. 14</w:t>
            </w:r>
          </w:p>
        </w:tc>
        <w:tc>
          <w:tcPr>
            <w:tcW w:type="dxa" w:w="3360"/>
            <w:shd w:fill="F1F5F9" w:val="clear"/>
            <w:tcMar>
              <w:top w:type="dxa" w:w="80"/>
              <w:left w:type="dxa" w:w="110"/>
              <w:bottom w:type="dxa" w:w="80"/>
              <w:right w:type="dxa" w:w="110"/>
            </w:tcMar>
            <w:vAlign w:val="center"/>
          </w:tcPr>
          <w:p>
            <w:pPr>
              <w:spacing w:after="20" w:line="252"/>
            </w:pPr>
            <w:r>
              <w:rPr>
                <w:color w:val="1E293B"/>
                <w:sz w:val="19"/>
                <w:szCs w:val="19"/>
              </w:rPr>
              <w:t xml:space="preserve">HITL pattern declared for high-risk tier</w:t>
            </w:r>
          </w:p>
        </w:tc>
      </w:tr>
    </w:tbl>
    <w:p>
      <w:pPr>
        <w:spacing w:after="120"/>
      </w:pPr>
    </w:p>
    <w:p>
      <w:r>
        <w:br w:type="page"/>
      </w:r>
    </w:p>
    <w:p>
      <w:pPr>
        <w:pStyle w:val="Heading1"/>
      </w:pPr>
      <w:r>
        <w:t xml:space="preserve">4.  LLM guardrails and security gateways</w:t>
      </w:r>
    </w:p>
    <w:p>
      <w:pPr>
        <w:spacing w:after="120" w:line="276"/>
      </w:pPr>
      <w:r>
        <w:rPr>
          <w:sz w:val="21"/>
          <w:szCs w:val="21"/>
        </w:rPr>
        <w:t xml:space="preserve">These sit between your applications and model providers. Every LLM call passes through a single enforcement point where PII redaction, injection defence, content safety and audit logging are applied — with zero application code changes.</w:t>
      </w:r>
    </w:p>
    <w:p>
      <w:pPr>
        <w:spacing w:after="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57500"/>
                    </a:xfrm>
                    <a:prstGeom prst="rect">
                      <a:avLst/>
                    </a:prstGeom>
                  </pic:spPr>
                </pic:pic>
              </a:graphicData>
            </a:graphic>
          </wp:inline>
        </w:drawing>
      </w:r>
    </w:p>
    <w:p>
      <w:pPr>
        <w:spacing w:after="240" w:before="60"/>
        <w:jc w:val="center"/>
      </w:pPr>
      <w:r>
        <w:rPr>
          <w:i/>
          <w:iCs/>
          <w:color w:val="64748B"/>
          <w:sz w:val="18"/>
          <w:szCs w:val="18"/>
        </w:rPr>
        <w:t xml:space="preserve">Figure 2 — Gateway architecture: how guardrails sit in the data path</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000"/>
        <w:gridCol w:w="1100"/>
        <w:gridCol w:w="3800"/>
        <w:gridCol w:w="2460"/>
      </w:tblGrid>
      <w:tr>
        <w:trPr>
          <w:tblHeader/>
        </w:trPr>
        <w:tc>
          <w:tcPr>
            <w:tcW w:type="dxa" w:w="2000"/>
            <w:shd w:fill="1F3A5F" w:val="clear"/>
            <w:tcMar>
              <w:top w:type="dxa" w:w="80"/>
              <w:left w:type="dxa" w:w="110"/>
              <w:bottom w:type="dxa" w:w="80"/>
              <w:right w:type="dxa" w:w="110"/>
            </w:tcMar>
            <w:vAlign w:val="center"/>
          </w:tcPr>
          <w:p>
            <w:pPr>
              <w:spacing w:after="20" w:line="252"/>
            </w:pPr>
            <w:r>
              <w:rPr>
                <w:b/>
                <w:bCs/>
                <w:color w:val="FFFFFF"/>
                <w:sz w:val="19"/>
                <w:szCs w:val="19"/>
              </w:rPr>
              <w:t xml:space="preserve">Framework</w:t>
            </w:r>
          </w:p>
        </w:tc>
        <w:tc>
          <w:tcPr>
            <w:tcW w:type="dxa" w:w="1100"/>
            <w:shd w:fill="1F3A5F" w:val="clear"/>
            <w:tcMar>
              <w:top w:type="dxa" w:w="80"/>
              <w:left w:type="dxa" w:w="110"/>
              <w:bottom w:type="dxa" w:w="80"/>
              <w:right w:type="dxa" w:w="110"/>
            </w:tcMar>
            <w:vAlign w:val="center"/>
          </w:tcPr>
          <w:p>
            <w:pPr>
              <w:spacing w:after="20" w:line="252"/>
            </w:pPr>
            <w:r>
              <w:rPr>
                <w:b/>
                <w:bCs/>
                <w:color w:val="FFFFFF"/>
                <w:sz w:val="19"/>
                <w:szCs w:val="19"/>
              </w:rPr>
              <w:t xml:space="preserve">Language</w:t>
            </w:r>
          </w:p>
        </w:tc>
        <w:tc>
          <w:tcPr>
            <w:tcW w:type="dxa" w:w="3800"/>
            <w:shd w:fill="1F3A5F" w:val="clear"/>
            <w:tcMar>
              <w:top w:type="dxa" w:w="80"/>
              <w:left w:type="dxa" w:w="110"/>
              <w:bottom w:type="dxa" w:w="80"/>
              <w:right w:type="dxa" w:w="110"/>
            </w:tcMar>
            <w:vAlign w:val="center"/>
          </w:tcPr>
          <w:p>
            <w:pPr>
              <w:spacing w:after="20" w:line="252"/>
            </w:pPr>
            <w:r>
              <w:rPr>
                <w:b/>
                <w:bCs/>
                <w:color w:val="FFFFFF"/>
                <w:sz w:val="19"/>
                <w:szCs w:val="19"/>
              </w:rPr>
              <w:t xml:space="preserve">Key Capabilities</w:t>
            </w:r>
          </w:p>
        </w:tc>
        <w:tc>
          <w:tcPr>
            <w:tcW w:type="dxa" w:w="2460"/>
            <w:shd w:fill="1F3A5F" w:val="clear"/>
            <w:tcMar>
              <w:top w:type="dxa" w:w="80"/>
              <w:left w:type="dxa" w:w="110"/>
              <w:bottom w:type="dxa" w:w="80"/>
              <w:right w:type="dxa" w:w="110"/>
            </w:tcMar>
            <w:vAlign w:val="center"/>
          </w:tcPr>
          <w:p>
            <w:pPr>
              <w:spacing w:after="20" w:line="252"/>
            </w:pPr>
            <w:r>
              <w:rPr>
                <w:b/>
                <w:bCs/>
                <w:color w:val="FFFFFF"/>
                <w:sz w:val="19"/>
                <w:szCs w:val="19"/>
              </w:rPr>
              <w:t xml:space="preserve">Deployment</w:t>
            </w:r>
          </w:p>
        </w:tc>
      </w:tr>
      <w:tr>
        <w:tc>
          <w:tcPr>
            <w:tcW w:type="dxa" w:w="2000"/>
            <w:shd w:fill="FFFFFF" w:val="clear"/>
            <w:tcMar>
              <w:top w:type="dxa" w:w="80"/>
              <w:left w:type="dxa" w:w="110"/>
              <w:bottom w:type="dxa" w:w="80"/>
              <w:right w:type="dxa" w:w="110"/>
            </w:tcMar>
            <w:vAlign w:val="center"/>
          </w:tcPr>
          <w:p>
            <w:pPr>
              <w:spacing w:after="20" w:line="252"/>
            </w:pPr>
            <w:r>
              <w:rPr>
                <w:color w:val="1E293B"/>
                <w:sz w:val="19"/>
                <w:szCs w:val="19"/>
              </w:rPr>
              <w:t xml:space="preserve">NVIDIA NeMo Guardrails</w:t>
            </w:r>
          </w:p>
        </w:tc>
        <w:tc>
          <w:tcPr>
            <w:tcW w:type="dxa" w:w="1100"/>
            <w:shd w:fill="FFFFFF" w:val="clear"/>
            <w:tcMar>
              <w:top w:type="dxa" w:w="80"/>
              <w:left w:type="dxa" w:w="110"/>
              <w:bottom w:type="dxa" w:w="80"/>
              <w:right w:type="dxa" w:w="110"/>
            </w:tcMar>
            <w:vAlign w:val="center"/>
          </w:tcPr>
          <w:p>
            <w:pPr>
              <w:spacing w:after="20" w:line="252"/>
            </w:pPr>
            <w:r>
              <w:rPr>
                <w:color w:val="1E293B"/>
                <w:sz w:val="19"/>
                <w:szCs w:val="19"/>
              </w:rPr>
              <w:t xml:space="preserve">Python</w:t>
            </w:r>
          </w:p>
        </w:tc>
        <w:tc>
          <w:tcPr>
            <w:tcW w:type="dxa" w:w="3800"/>
            <w:shd w:fill="FFFFFF" w:val="clear"/>
            <w:tcMar>
              <w:top w:type="dxa" w:w="80"/>
              <w:left w:type="dxa" w:w="110"/>
              <w:bottom w:type="dxa" w:w="80"/>
              <w:right w:type="dxa" w:w="110"/>
            </w:tcMar>
            <w:vAlign w:val="center"/>
          </w:tcPr>
          <w:p>
            <w:pPr>
              <w:spacing w:after="20" w:line="252"/>
            </w:pPr>
            <w:r>
              <w:rPr>
                <w:color w:val="1E293B"/>
                <w:sz w:val="19"/>
                <w:szCs w:val="19"/>
              </w:rPr>
              <w:t xml:space="preserve">Programmable rails (Colang DSL), jailbreak detection, fact-checking, hallucination detection, topic control, PII handling</w:t>
            </w:r>
          </w:p>
        </w:tc>
        <w:tc>
          <w:tcPr>
            <w:tcW w:type="dxa" w:w="2460"/>
            <w:shd w:fill="FFFFFF" w:val="clear"/>
            <w:tcMar>
              <w:top w:type="dxa" w:w="80"/>
              <w:left w:type="dxa" w:w="110"/>
              <w:bottom w:type="dxa" w:w="80"/>
              <w:right w:type="dxa" w:w="110"/>
            </w:tcMar>
            <w:vAlign w:val="center"/>
          </w:tcPr>
          <w:p>
            <w:pPr>
              <w:spacing w:after="20" w:line="252"/>
            </w:pPr>
            <w:r>
              <w:rPr>
                <w:color w:val="1E293B"/>
                <w:sz w:val="19"/>
                <w:szCs w:val="19"/>
              </w:rPr>
              <w:t xml:space="preserve">Python SDK + API server + Docker</w:t>
            </w:r>
          </w:p>
        </w:tc>
      </w:tr>
      <w:tr>
        <w:tc>
          <w:tcPr>
            <w:tcW w:type="dxa" w:w="2000"/>
            <w:shd w:fill="F1F5F9" w:val="clear"/>
            <w:tcMar>
              <w:top w:type="dxa" w:w="80"/>
              <w:left w:type="dxa" w:w="110"/>
              <w:bottom w:type="dxa" w:w="80"/>
              <w:right w:type="dxa" w:w="110"/>
            </w:tcMar>
            <w:vAlign w:val="center"/>
          </w:tcPr>
          <w:p>
            <w:pPr>
              <w:spacing w:after="20" w:line="252"/>
            </w:pPr>
            <w:r>
              <w:rPr>
                <w:color w:val="1E293B"/>
                <w:sz w:val="19"/>
                <w:szCs w:val="19"/>
              </w:rPr>
              <w:t xml:space="preserve">OpenGuardrails</w:t>
            </w:r>
          </w:p>
        </w:tc>
        <w:tc>
          <w:tcPr>
            <w:tcW w:type="dxa" w:w="1100"/>
            <w:shd w:fill="F1F5F9" w:val="clear"/>
            <w:tcMar>
              <w:top w:type="dxa" w:w="80"/>
              <w:left w:type="dxa" w:w="110"/>
              <w:bottom w:type="dxa" w:w="80"/>
              <w:right w:type="dxa" w:w="110"/>
            </w:tcMar>
            <w:vAlign w:val="center"/>
          </w:tcPr>
          <w:p>
            <w:pPr>
              <w:spacing w:after="20" w:line="252"/>
            </w:pPr>
            <w:r>
              <w:rPr>
                <w:color w:val="1E293B"/>
                <w:sz w:val="19"/>
                <w:szCs w:val="19"/>
              </w:rPr>
              <w:t xml:space="preserve">Go</w:t>
            </w:r>
          </w:p>
        </w:tc>
        <w:tc>
          <w:tcPr>
            <w:tcW w:type="dxa" w:w="3800"/>
            <w:shd w:fill="F1F5F9" w:val="clear"/>
            <w:tcMar>
              <w:top w:type="dxa" w:w="80"/>
              <w:left w:type="dxa" w:w="110"/>
              <w:bottom w:type="dxa" w:w="80"/>
              <w:right w:type="dxa" w:w="110"/>
            </w:tcMar>
            <w:vAlign w:val="center"/>
          </w:tcPr>
          <w:p>
            <w:pPr>
              <w:spacing w:after="20" w:line="252"/>
            </w:pPr>
            <w:r>
              <w:rPr>
                <w:color w:val="1E293B"/>
                <w:sz w:val="19"/>
                <w:szCs w:val="19"/>
              </w:rPr>
              <w:t xml:space="preserve">AI security gateway, GenAI PII detection, mask-and-restore, prompt injection defence, 19-category content safety, multi-tenant</w:t>
            </w:r>
          </w:p>
        </w:tc>
        <w:tc>
          <w:tcPr>
            <w:tcW w:type="dxa" w:w="2460"/>
            <w:shd w:fill="F1F5F9" w:val="clear"/>
            <w:tcMar>
              <w:top w:type="dxa" w:w="80"/>
              <w:left w:type="dxa" w:w="110"/>
              <w:bottom w:type="dxa" w:w="80"/>
              <w:right w:type="dxa" w:w="110"/>
            </w:tcMar>
            <w:vAlign w:val="center"/>
          </w:tcPr>
          <w:p>
            <w:pPr>
              <w:spacing w:after="20" w:line="252"/>
            </w:pPr>
            <w:r>
              <w:rPr>
                <w:color w:val="1E293B"/>
                <w:sz w:val="19"/>
                <w:szCs w:val="19"/>
              </w:rPr>
              <w:t xml:space="preserve">OpenAI-compatible proxy</w:t>
            </w:r>
          </w:p>
        </w:tc>
      </w:tr>
      <w:tr>
        <w:tc>
          <w:tcPr>
            <w:tcW w:type="dxa" w:w="2000"/>
            <w:shd w:fill="FFFFFF" w:val="clear"/>
            <w:tcMar>
              <w:top w:type="dxa" w:w="80"/>
              <w:left w:type="dxa" w:w="110"/>
              <w:bottom w:type="dxa" w:w="80"/>
              <w:right w:type="dxa" w:w="110"/>
            </w:tcMar>
            <w:vAlign w:val="center"/>
          </w:tcPr>
          <w:p>
            <w:pPr>
              <w:spacing w:after="20" w:line="252"/>
            </w:pPr>
            <w:r>
              <w:rPr>
                <w:color w:val="1E293B"/>
                <w:sz w:val="19"/>
                <w:szCs w:val="19"/>
              </w:rPr>
              <w:t xml:space="preserve">PolicyAware</w:t>
            </w:r>
          </w:p>
        </w:tc>
        <w:tc>
          <w:tcPr>
            <w:tcW w:type="dxa" w:w="1100"/>
            <w:shd w:fill="FFFFFF" w:val="clear"/>
            <w:tcMar>
              <w:top w:type="dxa" w:w="80"/>
              <w:left w:type="dxa" w:w="110"/>
              <w:bottom w:type="dxa" w:w="80"/>
              <w:right w:type="dxa" w:w="110"/>
            </w:tcMar>
            <w:vAlign w:val="center"/>
          </w:tcPr>
          <w:p>
            <w:pPr>
              <w:spacing w:after="20" w:line="252"/>
            </w:pPr>
            <w:r>
              <w:rPr>
                <w:color w:val="1E293B"/>
                <w:sz w:val="19"/>
                <w:szCs w:val="19"/>
              </w:rPr>
              <w:t xml:space="preserve">Python</w:t>
            </w:r>
          </w:p>
        </w:tc>
        <w:tc>
          <w:tcPr>
            <w:tcW w:type="dxa" w:w="3800"/>
            <w:shd w:fill="FFFFFF" w:val="clear"/>
            <w:tcMar>
              <w:top w:type="dxa" w:w="80"/>
              <w:left w:type="dxa" w:w="110"/>
              <w:bottom w:type="dxa" w:w="80"/>
              <w:right w:type="dxa" w:w="110"/>
            </w:tcMar>
            <w:vAlign w:val="center"/>
          </w:tcPr>
          <w:p>
            <w:pPr>
              <w:spacing w:after="20" w:line="252"/>
            </w:pPr>
            <w:r>
              <w:rPr>
                <w:color w:val="1E293B"/>
                <w:sz w:val="19"/>
                <w:szCs w:val="19"/>
              </w:rPr>
              <w:t xml:space="preserve">Deny-by-default policy, PII/PHI/secret redaction, MCP tool governance, model routing, RBAC, audit traces</w:t>
            </w:r>
          </w:p>
        </w:tc>
        <w:tc>
          <w:tcPr>
            <w:tcW w:type="dxa" w:w="2460"/>
            <w:shd w:fill="FFFFFF" w:val="clear"/>
            <w:tcMar>
              <w:top w:type="dxa" w:w="80"/>
              <w:left w:type="dxa" w:w="110"/>
              <w:bottom w:type="dxa" w:w="80"/>
              <w:right w:type="dxa" w:w="110"/>
            </w:tcMar>
            <w:vAlign w:val="center"/>
          </w:tcPr>
          <w:p>
            <w:pPr>
              <w:spacing w:after="20" w:line="252"/>
            </w:pPr>
            <w:r>
              <w:rPr>
                <w:color w:val="1E293B"/>
                <w:sz w:val="19"/>
                <w:szCs w:val="19"/>
              </w:rPr>
              <w:t xml:space="preserve">Control plane / SDK</w:t>
            </w:r>
          </w:p>
        </w:tc>
      </w:tr>
      <w:tr>
        <w:tc>
          <w:tcPr>
            <w:tcW w:type="dxa" w:w="2000"/>
            <w:shd w:fill="F1F5F9" w:val="clear"/>
            <w:tcMar>
              <w:top w:type="dxa" w:w="80"/>
              <w:left w:type="dxa" w:w="110"/>
              <w:bottom w:type="dxa" w:w="80"/>
              <w:right w:type="dxa" w:w="110"/>
            </w:tcMar>
            <w:vAlign w:val="center"/>
          </w:tcPr>
          <w:p>
            <w:pPr>
              <w:spacing w:after="20" w:line="252"/>
            </w:pPr>
            <w:r>
              <w:rPr>
                <w:color w:val="1E293B"/>
                <w:sz w:val="19"/>
                <w:szCs w:val="19"/>
              </w:rPr>
              <w:t xml:space="preserve">ToTra</w:t>
            </w:r>
          </w:p>
        </w:tc>
        <w:tc>
          <w:tcPr>
            <w:tcW w:type="dxa" w:w="1100"/>
            <w:shd w:fill="F1F5F9" w:val="clear"/>
            <w:tcMar>
              <w:top w:type="dxa" w:w="80"/>
              <w:left w:type="dxa" w:w="110"/>
              <w:bottom w:type="dxa" w:w="80"/>
              <w:right w:type="dxa" w:w="110"/>
            </w:tcMar>
            <w:vAlign w:val="center"/>
          </w:tcPr>
          <w:p>
            <w:pPr>
              <w:spacing w:after="20" w:line="252"/>
            </w:pPr>
            <w:r>
              <w:rPr>
                <w:color w:val="1E293B"/>
                <w:sz w:val="19"/>
                <w:szCs w:val="19"/>
              </w:rPr>
              <w:t xml:space="preserve">Go</w:t>
            </w:r>
          </w:p>
        </w:tc>
        <w:tc>
          <w:tcPr>
            <w:tcW w:type="dxa" w:w="3800"/>
            <w:shd w:fill="F1F5F9" w:val="clear"/>
            <w:tcMar>
              <w:top w:type="dxa" w:w="80"/>
              <w:left w:type="dxa" w:w="110"/>
              <w:bottom w:type="dxa" w:w="80"/>
              <w:right w:type="dxa" w:w="110"/>
            </w:tcMar>
            <w:vAlign w:val="center"/>
          </w:tcPr>
          <w:p>
            <w:pPr>
              <w:spacing w:after="20" w:line="252"/>
            </w:pPr>
            <w:r>
              <w:rPr>
                <w:color w:val="1E293B"/>
                <w:sz w:val="19"/>
                <w:szCs w:val="19"/>
              </w:rPr>
              <w:t xml:space="preserve">PII blocking (18 languages), per-user quotas, cost tracking, GDPR workflows, EU AI Act checklist, hash-chained audit</w:t>
            </w:r>
          </w:p>
        </w:tc>
        <w:tc>
          <w:tcPr>
            <w:tcW w:type="dxa" w:w="2460"/>
            <w:shd w:fill="F1F5F9" w:val="clear"/>
            <w:tcMar>
              <w:top w:type="dxa" w:w="80"/>
              <w:left w:type="dxa" w:w="110"/>
              <w:bottom w:type="dxa" w:w="80"/>
              <w:right w:type="dxa" w:w="110"/>
            </w:tcMar>
            <w:vAlign w:val="center"/>
          </w:tcPr>
          <w:p>
            <w:pPr>
              <w:spacing w:after="20" w:line="252"/>
            </w:pPr>
            <w:r>
              <w:rPr>
                <w:color w:val="1E293B"/>
                <w:sz w:val="19"/>
                <w:szCs w:val="19"/>
              </w:rPr>
              <w:t xml:space="preserve">OpenAI-compatible gateway</w:t>
            </w:r>
          </w:p>
        </w:tc>
      </w:tr>
    </w:tbl>
    <w:p>
      <w:pPr>
        <w:spacing w:after="120"/>
      </w:pPr>
    </w:p>
    <w:p>
      <w:pPr>
        <w:pStyle w:val="Heading2"/>
      </w:pPr>
      <w:r>
        <w:t xml:space="preserve">4.1  How the gateway pattern works</w:t>
      </w:r>
    </w:p>
    <w:p>
      <w:pPr>
        <w:pStyle w:val="ListParagraph"/>
        <w:numPr>
          <w:ilvl w:val="0"/>
          <w:numId w:val="2"/>
        </w:numPr>
        <w:spacing w:after="60" w:line="264"/>
      </w:pPr>
      <w:r>
        <w:rPr>
          <w:b/>
          <w:bCs/>
          <w:sz w:val="21"/>
          <w:szCs w:val="21"/>
        </w:rPr>
        <w:t xml:space="preserve">Drop-in proxy: </w:t>
      </w:r>
      <w:r>
        <w:rPr>
          <w:sz w:val="21"/>
          <w:szCs w:val="21"/>
        </w:rPr>
        <w:t xml:space="preserve">Exposes an OpenAI-compatible /v1/chat/completions endpoint. Applications swap one URL.</w:t>
      </w:r>
    </w:p>
    <w:p>
      <w:pPr>
        <w:pStyle w:val="ListParagraph"/>
        <w:numPr>
          <w:ilvl w:val="0"/>
          <w:numId w:val="2"/>
        </w:numPr>
        <w:spacing w:after="60" w:line="264"/>
      </w:pPr>
      <w:r>
        <w:rPr>
          <w:b/>
          <w:bCs/>
          <w:sz w:val="21"/>
          <w:szCs w:val="21"/>
        </w:rPr>
        <w:t xml:space="preserve">PII detection: </w:t>
      </w:r>
      <w:r>
        <w:rPr>
          <w:sz w:val="21"/>
          <w:szCs w:val="21"/>
        </w:rPr>
        <w:t xml:space="preserve">Scans every request body in real time. Detected PII is redacted or the request is blocked (configurable).</w:t>
      </w:r>
    </w:p>
    <w:p>
      <w:pPr>
        <w:pStyle w:val="ListParagraph"/>
        <w:numPr>
          <w:ilvl w:val="0"/>
          <w:numId w:val="2"/>
        </w:numPr>
        <w:spacing w:after="60" w:line="264"/>
      </w:pPr>
      <w:r>
        <w:rPr>
          <w:b/>
          <w:bCs/>
          <w:sz w:val="21"/>
          <w:szCs w:val="21"/>
        </w:rPr>
        <w:t xml:space="preserve">Injection defence: </w:t>
      </w:r>
      <w:r>
        <w:rPr>
          <w:sz w:val="21"/>
          <w:szCs w:val="21"/>
        </w:rPr>
        <w:t xml:space="preserve">Content safety models and pattern matching block prompt injection attempts.</w:t>
      </w:r>
    </w:p>
    <w:p>
      <w:pPr>
        <w:pStyle w:val="ListParagraph"/>
        <w:numPr>
          <w:ilvl w:val="0"/>
          <w:numId w:val="2"/>
        </w:numPr>
        <w:spacing w:after="60" w:line="264"/>
      </w:pPr>
      <w:r>
        <w:rPr>
          <w:b/>
          <w:bCs/>
          <w:sz w:val="21"/>
          <w:szCs w:val="21"/>
        </w:rPr>
        <w:t xml:space="preserve">Policy routing: </w:t>
      </w:r>
      <w:r>
        <w:rPr>
          <w:sz w:val="21"/>
          <w:szCs w:val="21"/>
        </w:rPr>
        <w:t xml:space="preserve">Sensitive requests can be routed to a private/on-premise model instead of a cloud provider.</w:t>
      </w:r>
    </w:p>
    <w:p>
      <w:pPr>
        <w:pStyle w:val="ListParagraph"/>
        <w:numPr>
          <w:ilvl w:val="0"/>
          <w:numId w:val="2"/>
        </w:numPr>
        <w:spacing w:after="60" w:line="264"/>
      </w:pPr>
      <w:r>
        <w:rPr>
          <w:b/>
          <w:bCs/>
          <w:sz w:val="21"/>
          <w:szCs w:val="21"/>
        </w:rPr>
        <w:t xml:space="preserve">Immutable audit: </w:t>
      </w:r>
      <w:r>
        <w:rPr>
          <w:sz w:val="21"/>
          <w:szCs w:val="21"/>
        </w:rPr>
        <w:t xml:space="preserve">Every request/response is hash-chained. The log cannot be tampered with after the fact.</w:t>
      </w:r>
    </w:p>
    <w:p>
      <w:pPr>
        <w:spacing w:after="120"/>
      </w:pPr>
    </w:p>
    <w:tbl>
      <w:tblPr>
        <w:tblW w:type="dxa" w:w="9360"/>
        <w:tblBorders>
          <w:top w:val="none" w:color="FFFFFF" w:sz="0"/>
          <w:left w:val="single" w:color="047857" w:sz="28"/>
          <w:bottom w:val="none" w:color="FFFFFF" w:sz="0"/>
          <w:right w:val="none" w:color="FFFFFF" w:sz="0"/>
          <w:insideH w:val="none" w:color="FFFFFF" w:sz="0"/>
          <w:insideV w:val="none" w:color="FFFFFF" w:sz="0"/>
        </w:tblBorders>
      </w:tblPr>
      <w:tblGrid>
        <w:gridCol w:w="9360"/>
      </w:tblGrid>
      <w:tr>
        <w:tc>
          <w:tcPr>
            <w:tcW w:type="dxa" w:w="9360"/>
            <w:shd w:fill="ECFDF5" w:val="clear"/>
            <w:tcMar>
              <w:top w:type="dxa" w:w="120"/>
              <w:left w:type="dxa" w:w="160"/>
              <w:bottom w:type="dxa" w:w="120"/>
              <w:right w:type="dxa" w:w="160"/>
            </w:tcMar>
          </w:tcPr>
          <w:p>
            <w:pPr>
              <w:spacing w:after="80"/>
            </w:pPr>
            <w:r>
              <w:rPr>
                <w:b/>
                <w:bCs/>
                <w:color w:val="047857"/>
                <w:sz w:val="21"/>
                <w:szCs w:val="21"/>
              </w:rPr>
              <w:t xml:space="preserve">The mask-and-restore pattern</w:t>
            </w:r>
          </w:p>
          <w:p>
            <w:pPr>
              <w:spacing w:after="120" w:line="276"/>
            </w:pPr>
            <w:r>
              <w:rPr>
                <w:sz w:val="21"/>
                <w:szCs w:val="21"/>
              </w:rPr>
              <w:t xml:space="preserve">OpenGuardrails and PolicyAware support a mask-and-restore strategy: PII is detected and replaced with tokens before the prompt reaches the model. When the response comes back, tokens are restored to original values. The model never sees real personal data, but the user gets a natural response. This satisfies GDPR’s data minimisation principle without degrading the user experience.</w:t>
            </w:r>
          </w:p>
        </w:tc>
      </w:tr>
    </w:tbl>
    <w:p>
      <w:pPr>
        <w:spacing w:after="120"/>
      </w:pPr>
    </w:p>
    <w:p>
      <w:r>
        <w:br w:type="page"/>
      </w:r>
    </w:p>
    <w:p>
      <w:pPr>
        <w:pStyle w:val="Heading1"/>
      </w:pPr>
      <w:r>
        <w:t xml:space="preserve">5.  Fairness, bias and explainability toolkits</w:t>
      </w:r>
    </w:p>
    <w:p>
      <w:pPr>
        <w:spacing w:after="120" w:line="276"/>
      </w:pPr>
      <w:r>
        <w:rPr>
          <w:sz w:val="21"/>
          <w:szCs w:val="21"/>
        </w:rPr>
        <w:t xml:space="preserve">These address the Trust pillar — making AI measurably fair and interpretable. They are the evidence generators for NIST’s “fair, with harmful bias managed” and “explainable and interpretable” characteristics.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200"/>
        <w:gridCol w:w="3600"/>
        <w:gridCol w:w="3560"/>
      </w:tblGrid>
      <w:tr>
        <w:trPr>
          <w:tblHeader/>
        </w:trPr>
        <w:tc>
          <w:tcPr>
            <w:tcW w:type="dxa" w:w="2200"/>
            <w:shd w:fill="1F3A5F" w:val="clear"/>
            <w:tcMar>
              <w:top w:type="dxa" w:w="80"/>
              <w:left w:type="dxa" w:w="110"/>
              <w:bottom w:type="dxa" w:w="80"/>
              <w:right w:type="dxa" w:w="110"/>
            </w:tcMar>
            <w:vAlign w:val="center"/>
          </w:tcPr>
          <w:p>
            <w:pPr>
              <w:spacing w:after="20" w:line="252"/>
            </w:pPr>
            <w:r>
              <w:rPr>
                <w:b/>
                <w:bCs/>
                <w:color w:val="FFFFFF"/>
                <w:sz w:val="19"/>
                <w:szCs w:val="19"/>
              </w:rPr>
              <w:t xml:space="preserve">Toolkit</w:t>
            </w:r>
          </w:p>
        </w:tc>
        <w:tc>
          <w:tcPr>
            <w:tcW w:type="dxa" w:w="3600"/>
            <w:shd w:fill="1F3A5F" w:val="clear"/>
            <w:tcMar>
              <w:top w:type="dxa" w:w="80"/>
              <w:left w:type="dxa" w:w="110"/>
              <w:bottom w:type="dxa" w:w="80"/>
              <w:right w:type="dxa" w:w="110"/>
            </w:tcMar>
            <w:vAlign w:val="center"/>
          </w:tcPr>
          <w:p>
            <w:pPr>
              <w:spacing w:after="20" w:line="252"/>
            </w:pPr>
            <w:r>
              <w:rPr>
                <w:b/>
                <w:bCs/>
                <w:color w:val="FFFFFF"/>
                <w:sz w:val="19"/>
                <w:szCs w:val="19"/>
              </w:rPr>
              <w:t xml:space="preserve">Capabilities</w:t>
            </w:r>
          </w:p>
        </w:tc>
        <w:tc>
          <w:tcPr>
            <w:tcW w:type="dxa" w:w="3560"/>
            <w:shd w:fill="1F3A5F" w:val="clear"/>
            <w:tcMar>
              <w:top w:type="dxa" w:w="80"/>
              <w:left w:type="dxa" w:w="110"/>
              <w:bottom w:type="dxa" w:w="80"/>
              <w:right w:type="dxa" w:w="110"/>
            </w:tcMar>
            <w:vAlign w:val="center"/>
          </w:tcPr>
          <w:p>
            <w:pPr>
              <w:spacing w:after="20" w:line="252"/>
            </w:pPr>
            <w:r>
              <w:rPr>
                <w:b/>
                <w:bCs/>
                <w:color w:val="FFFFFF"/>
                <w:sz w:val="19"/>
                <w:szCs w:val="19"/>
              </w:rPr>
              <w:t xml:space="preserve">Best for</w:t>
            </w:r>
          </w:p>
        </w:tc>
      </w:tr>
      <w:tr>
        <w:tc>
          <w:tcPr>
            <w:tcW w:type="dxa" w:w="2200"/>
            <w:shd w:fill="FFFFFF" w:val="clear"/>
            <w:tcMar>
              <w:top w:type="dxa" w:w="80"/>
              <w:left w:type="dxa" w:w="110"/>
              <w:bottom w:type="dxa" w:w="80"/>
              <w:right w:type="dxa" w:w="110"/>
            </w:tcMar>
            <w:vAlign w:val="center"/>
          </w:tcPr>
          <w:p>
            <w:pPr>
              <w:spacing w:after="20" w:line="252"/>
            </w:pPr>
            <w:r>
              <w:rPr>
                <w:color w:val="1E293B"/>
                <w:sz w:val="19"/>
                <w:szCs w:val="19"/>
              </w:rPr>
              <w:t xml:space="preserve">IBM AI Fairness 360</w:t>
            </w:r>
          </w:p>
        </w:tc>
        <w:tc>
          <w:tcPr>
            <w:tcW w:type="dxa" w:w="3600"/>
            <w:shd w:fill="FFFFFF" w:val="clear"/>
            <w:tcMar>
              <w:top w:type="dxa" w:w="80"/>
              <w:left w:type="dxa" w:w="110"/>
              <w:bottom w:type="dxa" w:w="80"/>
              <w:right w:type="dxa" w:w="110"/>
            </w:tcMar>
            <w:vAlign w:val="center"/>
          </w:tcPr>
          <w:p>
            <w:pPr>
              <w:spacing w:after="20" w:line="252"/>
            </w:pPr>
            <w:r>
              <w:rPr>
                <w:color w:val="1E293B"/>
                <w:sz w:val="19"/>
                <w:szCs w:val="19"/>
              </w:rPr>
              <w:t xml:space="preserve">70+ metrics, 10+ mitigation algorithms (pre/in/post-processing), scikit-learn/TensorFlow/PyTorch</w:t>
            </w:r>
          </w:p>
        </w:tc>
        <w:tc>
          <w:tcPr>
            <w:tcW w:type="dxa" w:w="3560"/>
            <w:shd w:fill="FFFFFF" w:val="clear"/>
            <w:tcMar>
              <w:top w:type="dxa" w:w="80"/>
              <w:left w:type="dxa" w:w="110"/>
              <w:bottom w:type="dxa" w:w="80"/>
              <w:right w:type="dxa" w:w="110"/>
            </w:tcMar>
            <w:vAlign w:val="center"/>
          </w:tcPr>
          <w:p>
            <w:pPr>
              <w:spacing w:after="20" w:line="252"/>
            </w:pPr>
            <w:r>
              <w:rPr>
                <w:color w:val="1E293B"/>
                <w:sz w:val="19"/>
                <w:szCs w:val="19"/>
              </w:rPr>
              <w:t xml:space="preserve">Comprehensive bias detection and debiasing across the ML lifecycle</w:t>
            </w:r>
          </w:p>
        </w:tc>
      </w:tr>
      <w:tr>
        <w:tc>
          <w:tcPr>
            <w:tcW w:type="dxa" w:w="2200"/>
            <w:shd w:fill="F1F5F9" w:val="clear"/>
            <w:tcMar>
              <w:top w:type="dxa" w:w="80"/>
              <w:left w:type="dxa" w:w="110"/>
              <w:bottom w:type="dxa" w:w="80"/>
              <w:right w:type="dxa" w:w="110"/>
            </w:tcMar>
            <w:vAlign w:val="center"/>
          </w:tcPr>
          <w:p>
            <w:pPr>
              <w:spacing w:after="20" w:line="252"/>
            </w:pPr>
            <w:r>
              <w:rPr>
                <w:color w:val="1E293B"/>
                <w:sz w:val="19"/>
                <w:szCs w:val="19"/>
              </w:rPr>
              <w:t xml:space="preserve">Microsoft Fairlearn</w:t>
            </w:r>
          </w:p>
        </w:tc>
        <w:tc>
          <w:tcPr>
            <w:tcW w:type="dxa" w:w="3600"/>
            <w:shd w:fill="F1F5F9" w:val="clear"/>
            <w:tcMar>
              <w:top w:type="dxa" w:w="80"/>
              <w:left w:type="dxa" w:w="110"/>
              <w:bottom w:type="dxa" w:w="80"/>
              <w:right w:type="dxa" w:w="110"/>
            </w:tcMar>
            <w:vAlign w:val="center"/>
          </w:tcPr>
          <w:p>
            <w:pPr>
              <w:spacing w:after="20" w:line="252"/>
            </w:pPr>
            <w:r>
              <w:rPr>
                <w:color w:val="1E293B"/>
                <w:sz w:val="19"/>
                <w:szCs w:val="19"/>
              </w:rPr>
              <w:t xml:space="preserve">Fairness dashboard, mitigation (reweighting, reductions), allocation and quality-of-service harm assessment</w:t>
            </w:r>
          </w:p>
        </w:tc>
        <w:tc>
          <w:tcPr>
            <w:tcW w:type="dxa" w:w="3560"/>
            <w:shd w:fill="F1F5F9" w:val="clear"/>
            <w:tcMar>
              <w:top w:type="dxa" w:w="80"/>
              <w:left w:type="dxa" w:w="110"/>
              <w:bottom w:type="dxa" w:w="80"/>
              <w:right w:type="dxa" w:w="110"/>
            </w:tcMar>
            <w:vAlign w:val="center"/>
          </w:tcPr>
          <w:p>
            <w:pPr>
              <w:spacing w:after="20" w:line="252"/>
            </w:pPr>
            <w:r>
              <w:rPr>
                <w:color w:val="1E293B"/>
                <w:sz w:val="19"/>
                <w:szCs w:val="19"/>
              </w:rPr>
              <w:t xml:space="preserve">Teams in the Azure/Microsoft ecosystem needing visual reporting</w:t>
            </w:r>
          </w:p>
        </w:tc>
      </w:tr>
      <w:tr>
        <w:tc>
          <w:tcPr>
            <w:tcW w:type="dxa" w:w="2200"/>
            <w:shd w:fill="FFFFFF" w:val="clear"/>
            <w:tcMar>
              <w:top w:type="dxa" w:w="80"/>
              <w:left w:type="dxa" w:w="110"/>
              <w:bottom w:type="dxa" w:w="80"/>
              <w:right w:type="dxa" w:w="110"/>
            </w:tcMar>
            <w:vAlign w:val="center"/>
          </w:tcPr>
          <w:p>
            <w:pPr>
              <w:spacing w:after="20" w:line="252"/>
            </w:pPr>
            <w:r>
              <w:rPr>
                <w:color w:val="1E293B"/>
                <w:sz w:val="19"/>
                <w:szCs w:val="19"/>
              </w:rPr>
              <w:t xml:space="preserve">IBM AI Explainability 360</w:t>
            </w:r>
          </w:p>
        </w:tc>
        <w:tc>
          <w:tcPr>
            <w:tcW w:type="dxa" w:w="3600"/>
            <w:shd w:fill="FFFFFF" w:val="clear"/>
            <w:tcMar>
              <w:top w:type="dxa" w:w="80"/>
              <w:left w:type="dxa" w:w="110"/>
              <w:bottom w:type="dxa" w:w="80"/>
              <w:right w:type="dxa" w:w="110"/>
            </w:tcMar>
            <w:vAlign w:val="center"/>
          </w:tcPr>
          <w:p>
            <w:pPr>
              <w:spacing w:after="20" w:line="252"/>
            </w:pPr>
            <w:r>
              <w:rPr>
                <w:color w:val="1E293B"/>
                <w:sz w:val="19"/>
                <w:szCs w:val="19"/>
              </w:rPr>
              <w:t xml:space="preserve">8 algorithms (LIME, SHAP, contrastive, boolean rules), tabular/text/image/time-series</w:t>
            </w:r>
          </w:p>
        </w:tc>
        <w:tc>
          <w:tcPr>
            <w:tcW w:type="dxa" w:w="3560"/>
            <w:shd w:fill="FFFFFF" w:val="clear"/>
            <w:tcMar>
              <w:top w:type="dxa" w:w="80"/>
              <w:left w:type="dxa" w:w="110"/>
              <w:bottom w:type="dxa" w:w="80"/>
              <w:right w:type="dxa" w:w="110"/>
            </w:tcMar>
            <w:vAlign w:val="center"/>
          </w:tcPr>
          <w:p>
            <w:pPr>
              <w:spacing w:after="20" w:line="252"/>
            </w:pPr>
            <w:r>
              <w:rPr>
                <w:color w:val="1E293B"/>
                <w:sz w:val="19"/>
                <w:szCs w:val="19"/>
              </w:rPr>
              <w:t xml:space="preserve">Making model decisions interpretable for regulators and customers</w:t>
            </w:r>
          </w:p>
        </w:tc>
      </w:tr>
    </w:tbl>
    <w:p>
      <w:pPr>
        <w:spacing w:after="120"/>
      </w:pPr>
    </w:p>
    <w:p>
      <w:pPr>
        <w:pStyle w:val="Heading2"/>
      </w:pPr>
      <w:r>
        <w:t xml:space="preserve">5.1  How they complement the governance platforms</w:t>
      </w:r>
    </w:p>
    <w:p>
      <w:pPr>
        <w:spacing w:after="120" w:line="276"/>
      </w:pPr>
      <w:r>
        <w:rPr>
          <w:sz w:val="21"/>
          <w:szCs w:val="21"/>
        </w:rPr>
        <w:t xml:space="preserve">The governance platforms (Layer 1) track what AI systems exist and what their risk scores are. The fairness toolkits provide the measurement that feeds those scores:</w:t>
      </w:r>
    </w:p>
    <w:p>
      <w:pPr>
        <w:pStyle w:val="ListParagraph"/>
        <w:numPr>
          <w:ilvl w:val="0"/>
          <w:numId w:val="2"/>
        </w:numPr>
        <w:spacing w:after="60" w:line="264"/>
      </w:pPr>
      <w:r>
        <w:rPr>
          <w:b/>
          <w:bCs/>
          <w:sz w:val="21"/>
          <w:szCs w:val="21"/>
        </w:rPr>
        <w:t xml:space="preserve">Before release: </w:t>
      </w:r>
      <w:r>
        <w:rPr>
          <w:sz w:val="21"/>
          <w:szCs w:val="21"/>
        </w:rPr>
        <w:t xml:space="preserve">Run AIF360 bias metrics on the evaluation set. If any group-fairness threshold is breached, the release is blocked.</w:t>
      </w:r>
    </w:p>
    <w:p>
      <w:pPr>
        <w:pStyle w:val="ListParagraph"/>
        <w:numPr>
          <w:ilvl w:val="0"/>
          <w:numId w:val="2"/>
        </w:numPr>
        <w:spacing w:after="60" w:line="264"/>
      </w:pPr>
      <w:r>
        <w:rPr>
          <w:b/>
          <w:bCs/>
          <w:sz w:val="21"/>
          <w:szCs w:val="21"/>
        </w:rPr>
        <w:t xml:space="preserve">In production: </w:t>
      </w:r>
      <w:r>
        <w:rPr>
          <w:sz w:val="21"/>
          <w:szCs w:val="21"/>
        </w:rPr>
        <w:t xml:space="preserve">Sample live traffic through Fairlearn’s dashboard weekly. Feed results back to Assuro’s risk engine.</w:t>
      </w:r>
    </w:p>
    <w:p>
      <w:pPr>
        <w:pStyle w:val="ListParagraph"/>
        <w:numPr>
          <w:ilvl w:val="0"/>
          <w:numId w:val="2"/>
        </w:numPr>
        <w:spacing w:after="60" w:line="264"/>
      </w:pPr>
      <w:r>
        <w:rPr>
          <w:b/>
          <w:bCs/>
          <w:sz w:val="21"/>
          <w:szCs w:val="21"/>
        </w:rPr>
        <w:t xml:space="preserve">On demand: </w:t>
      </w:r>
      <w:r>
        <w:rPr>
          <w:sz w:val="21"/>
          <w:szCs w:val="21"/>
        </w:rPr>
        <w:t xml:space="preserve">When a customer or regulator asks “why did your system do X?”, AIX360 generates the explanation.</w:t>
      </w:r>
    </w:p>
    <w:p>
      <w:pPr>
        <w:spacing w:after="120"/>
      </w:pPr>
    </w:p>
    <w:p>
      <w:r>
        <w:br w:type="page"/>
      </w:r>
    </w:p>
    <w:p>
      <w:pPr>
        <w:pStyle w:val="Heading1"/>
      </w:pPr>
      <w:r>
        <w:t xml:space="preserve">6.  Coverage matrix — pillars vs. tools</w:t>
      </w:r>
    </w:p>
    <w:p>
      <w:pPr>
        <w:spacing w:after="120" w:line="276"/>
      </w:pPr>
      <w:r>
        <w:rPr>
          <w:sz w:val="21"/>
          <w:szCs w:val="21"/>
        </w:rPr>
        <w:t xml:space="preserve">Which tools address which governance pillar. No single tool covers all five — the layered stack is essential:</w:t>
      </w:r>
    </w:p>
    <w:p>
      <w:pPr>
        <w:spacing w:after="0"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362200"/>
                    </a:xfrm>
                    <a:prstGeom prst="rect">
                      <a:avLst/>
                    </a:prstGeom>
                  </pic:spPr>
                </pic:pic>
              </a:graphicData>
            </a:graphic>
          </wp:inline>
        </w:drawing>
      </w:r>
    </w:p>
    <w:p>
      <w:pPr>
        <w:spacing w:after="240" w:before="60"/>
        <w:jc w:val="center"/>
      </w:pPr>
      <w:r>
        <w:rPr>
          <w:i/>
          <w:iCs/>
          <w:color w:val="64748B"/>
          <w:sz w:val="18"/>
          <w:szCs w:val="18"/>
        </w:rPr>
        <w:t xml:space="preserve">Figure 3 — Coverage matrix: filled = strong, half = partial, outline = indirect</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500"/>
        <w:gridCol w:w="3500"/>
        <w:gridCol w:w="4360"/>
      </w:tblGrid>
      <w:tr>
        <w:trPr>
          <w:tblHeader/>
        </w:trPr>
        <w:tc>
          <w:tcPr>
            <w:tcW w:type="dxa" w:w="1500"/>
            <w:shd w:fill="1F3A5F" w:val="clear"/>
            <w:tcMar>
              <w:top w:type="dxa" w:w="80"/>
              <w:left w:type="dxa" w:w="110"/>
              <w:bottom w:type="dxa" w:w="80"/>
              <w:right w:type="dxa" w:w="110"/>
            </w:tcMar>
            <w:vAlign w:val="center"/>
          </w:tcPr>
          <w:p>
            <w:pPr>
              <w:spacing w:after="20" w:line="252"/>
            </w:pPr>
            <w:r>
              <w:rPr>
                <w:b/>
                <w:bCs/>
                <w:color w:val="FFFFFF"/>
                <w:sz w:val="19"/>
                <w:szCs w:val="19"/>
              </w:rPr>
              <w:t xml:space="preserve">Pillar</w:t>
            </w:r>
          </w:p>
        </w:tc>
        <w:tc>
          <w:tcPr>
            <w:tcW w:type="dxa" w:w="3500"/>
            <w:shd w:fill="1F3A5F" w:val="clear"/>
            <w:tcMar>
              <w:top w:type="dxa" w:w="80"/>
              <w:left w:type="dxa" w:w="110"/>
              <w:bottom w:type="dxa" w:w="80"/>
              <w:right w:type="dxa" w:w="110"/>
            </w:tcMar>
            <w:vAlign w:val="center"/>
          </w:tcPr>
          <w:p>
            <w:pPr>
              <w:spacing w:after="20" w:line="252"/>
            </w:pPr>
            <w:r>
              <w:rPr>
                <w:b/>
                <w:bCs/>
                <w:color w:val="FFFFFF"/>
                <w:sz w:val="19"/>
                <w:szCs w:val="19"/>
              </w:rPr>
              <w:t xml:space="preserve">Primary Tools</w:t>
            </w:r>
          </w:p>
        </w:tc>
        <w:tc>
          <w:tcPr>
            <w:tcW w:type="dxa" w:w="4360"/>
            <w:shd w:fill="1F3A5F" w:val="clear"/>
            <w:tcMar>
              <w:top w:type="dxa" w:w="80"/>
              <w:left w:type="dxa" w:w="110"/>
              <w:bottom w:type="dxa" w:w="80"/>
              <w:right w:type="dxa" w:w="110"/>
            </w:tcMar>
            <w:vAlign w:val="center"/>
          </w:tcPr>
          <w:p>
            <w:pPr>
              <w:spacing w:after="20" w:line="252"/>
            </w:pPr>
            <w:r>
              <w:rPr>
                <w:b/>
                <w:bCs/>
                <w:color w:val="FFFFFF"/>
                <w:sz w:val="19"/>
                <w:szCs w:val="19"/>
              </w:rPr>
              <w:t xml:space="preserve">What They Deliver</w:t>
            </w:r>
          </w:p>
        </w:tc>
      </w:tr>
      <w:tr>
        <w:tc>
          <w:tcPr>
            <w:tcW w:type="dxa" w:w="1500"/>
            <w:shd w:fill="FFFFFF" w:val="clear"/>
            <w:tcMar>
              <w:top w:type="dxa" w:w="80"/>
              <w:left w:type="dxa" w:w="110"/>
              <w:bottom w:type="dxa" w:w="80"/>
              <w:right w:type="dxa" w:w="110"/>
            </w:tcMar>
            <w:vAlign w:val="center"/>
          </w:tcPr>
          <w:p>
            <w:pPr>
              <w:spacing w:after="20" w:line="252"/>
            </w:pPr>
            <w:r>
              <w:rPr>
                <w:b/>
                <w:bCs/>
                <w:color w:val="2563EB"/>
                <w:sz w:val="19"/>
                <w:szCs w:val="19"/>
              </w:rPr>
              <w:t xml:space="preserve">TRUST</w:t>
            </w:r>
          </w:p>
        </w:tc>
        <w:tc>
          <w:tcPr>
            <w:tcW w:type="dxa" w:w="3500"/>
            <w:shd w:fill="FFFFFF" w:val="clear"/>
            <w:tcMar>
              <w:top w:type="dxa" w:w="80"/>
              <w:left w:type="dxa" w:w="110"/>
              <w:bottom w:type="dxa" w:w="80"/>
              <w:right w:type="dxa" w:w="110"/>
            </w:tcMar>
            <w:vAlign w:val="center"/>
          </w:tcPr>
          <w:p>
            <w:pPr>
              <w:spacing w:after="20" w:line="252"/>
            </w:pPr>
            <w:r>
              <w:rPr>
                <w:color w:val="1E293B"/>
                <w:sz w:val="19"/>
                <w:szCs w:val="19"/>
              </w:rPr>
              <w:t xml:space="preserve">AIF360, Fairlearn, AIX360, RAI Toolkit</w:t>
            </w:r>
          </w:p>
        </w:tc>
        <w:tc>
          <w:tcPr>
            <w:tcW w:type="dxa" w:w="4360"/>
            <w:shd w:fill="FFFFFF" w:val="clear"/>
            <w:tcMar>
              <w:top w:type="dxa" w:w="80"/>
              <w:left w:type="dxa" w:w="110"/>
              <w:bottom w:type="dxa" w:w="80"/>
              <w:right w:type="dxa" w:w="110"/>
            </w:tcMar>
            <w:vAlign w:val="center"/>
          </w:tcPr>
          <w:p>
            <w:pPr>
              <w:spacing w:after="20" w:line="252"/>
            </w:pPr>
            <w:r>
              <w:rPr>
                <w:color w:val="1E293B"/>
                <w:sz w:val="19"/>
                <w:szCs w:val="19"/>
              </w:rPr>
              <w:t xml:space="preserve">Fairness metrics, bias detection, explainability algorithms, adversarial red-teaming</w:t>
            </w:r>
          </w:p>
        </w:tc>
      </w:tr>
      <w:tr>
        <w:tc>
          <w:tcPr>
            <w:tcW w:type="dxa" w:w="1500"/>
            <w:shd w:fill="F1F5F9" w:val="clear"/>
            <w:tcMar>
              <w:top w:type="dxa" w:w="80"/>
              <w:left w:type="dxa" w:w="110"/>
              <w:bottom w:type="dxa" w:w="80"/>
              <w:right w:type="dxa" w:w="110"/>
            </w:tcMar>
            <w:vAlign w:val="center"/>
          </w:tcPr>
          <w:p>
            <w:pPr>
              <w:spacing w:after="20" w:line="252"/>
            </w:pPr>
            <w:r>
              <w:rPr>
                <w:b/>
                <w:bCs/>
                <w:color w:val="B91C1C"/>
                <w:sz w:val="19"/>
                <w:szCs w:val="19"/>
              </w:rPr>
              <w:t xml:space="preserve">SECURITY</w:t>
            </w:r>
          </w:p>
        </w:tc>
        <w:tc>
          <w:tcPr>
            <w:tcW w:type="dxa" w:w="3500"/>
            <w:shd w:fill="F1F5F9" w:val="clear"/>
            <w:tcMar>
              <w:top w:type="dxa" w:w="80"/>
              <w:left w:type="dxa" w:w="110"/>
              <w:bottom w:type="dxa" w:w="80"/>
              <w:right w:type="dxa" w:w="110"/>
            </w:tcMar>
            <w:vAlign w:val="center"/>
          </w:tcPr>
          <w:p>
            <w:pPr>
              <w:spacing w:after="20" w:line="252"/>
            </w:pPr>
            <w:r>
              <w:rPr>
                <w:color w:val="1E293B"/>
                <w:sz w:val="19"/>
                <w:szCs w:val="19"/>
              </w:rPr>
              <w:t xml:space="preserve">NeMo Guardrails, OpenGuardrails, PolicyAware, ToTra</w:t>
            </w:r>
          </w:p>
        </w:tc>
        <w:tc>
          <w:tcPr>
            <w:tcW w:type="dxa" w:w="4360"/>
            <w:shd w:fill="F1F5F9" w:val="clear"/>
            <w:tcMar>
              <w:top w:type="dxa" w:w="80"/>
              <w:left w:type="dxa" w:w="110"/>
              <w:bottom w:type="dxa" w:w="80"/>
              <w:right w:type="dxa" w:w="110"/>
            </w:tcMar>
            <w:vAlign w:val="center"/>
          </w:tcPr>
          <w:p>
            <w:pPr>
              <w:spacing w:after="20" w:line="252"/>
            </w:pPr>
            <w:r>
              <w:rPr>
                <w:color w:val="1E293B"/>
                <w:sz w:val="19"/>
                <w:szCs w:val="19"/>
              </w:rPr>
              <w:t xml:space="preserve">PII redaction, injection defence, content safety, encryption enforcement</w:t>
            </w:r>
          </w:p>
        </w:tc>
      </w:tr>
      <w:tr>
        <w:tc>
          <w:tcPr>
            <w:tcW w:type="dxa" w:w="1500"/>
            <w:shd w:fill="FFFFFF" w:val="clear"/>
            <w:tcMar>
              <w:top w:type="dxa" w:w="80"/>
              <w:left w:type="dxa" w:w="110"/>
              <w:bottom w:type="dxa" w:w="80"/>
              <w:right w:type="dxa" w:w="110"/>
            </w:tcMar>
            <w:vAlign w:val="center"/>
          </w:tcPr>
          <w:p>
            <w:pPr>
              <w:spacing w:after="20" w:line="252"/>
            </w:pPr>
            <w:r>
              <w:rPr>
                <w:b/>
                <w:bCs/>
                <w:color w:val="6D28D9"/>
                <w:sz w:val="19"/>
                <w:szCs w:val="19"/>
              </w:rPr>
              <w:t xml:space="preserve">GOVERNANCE</w:t>
            </w:r>
          </w:p>
        </w:tc>
        <w:tc>
          <w:tcPr>
            <w:tcW w:type="dxa" w:w="3500"/>
            <w:shd w:fill="FFFFFF" w:val="clear"/>
            <w:tcMar>
              <w:top w:type="dxa" w:w="80"/>
              <w:left w:type="dxa" w:w="110"/>
              <w:bottom w:type="dxa" w:w="80"/>
              <w:right w:type="dxa" w:w="110"/>
            </w:tcMar>
            <w:vAlign w:val="center"/>
          </w:tcPr>
          <w:p>
            <w:pPr>
              <w:spacing w:after="20" w:line="252"/>
            </w:pPr>
            <w:r>
              <w:rPr>
                <w:color w:val="1E293B"/>
                <w:sz w:val="19"/>
                <w:szCs w:val="19"/>
              </w:rPr>
              <w:t xml:space="preserve">ai-governance-framework, Assuro, checkpoint-ai, OPA bundle</w:t>
            </w:r>
          </w:p>
        </w:tc>
        <w:tc>
          <w:tcPr>
            <w:tcW w:type="dxa" w:w="4360"/>
            <w:shd w:fill="FFFFFF" w:val="clear"/>
            <w:tcMar>
              <w:top w:type="dxa" w:w="80"/>
              <w:left w:type="dxa" w:w="110"/>
              <w:bottom w:type="dxa" w:w="80"/>
              <w:right w:type="dxa" w:w="110"/>
            </w:tcMar>
            <w:vAlign w:val="center"/>
          </w:tcPr>
          <w:p>
            <w:pPr>
              <w:spacing w:after="20" w:line="252"/>
            </w:pPr>
            <w:r>
              <w:rPr>
                <w:color w:val="1E293B"/>
                <w:sz w:val="19"/>
                <w:szCs w:val="19"/>
              </w:rPr>
              <w:t xml:space="preserve">AI inventory, model cards, risk scoring, version control, committee structure</w:t>
            </w:r>
          </w:p>
        </w:tc>
      </w:tr>
      <w:tr>
        <w:tc>
          <w:tcPr>
            <w:tcW w:type="dxa" w:w="1500"/>
            <w:shd w:fill="F1F5F9" w:val="clear"/>
            <w:tcMar>
              <w:top w:type="dxa" w:w="80"/>
              <w:left w:type="dxa" w:w="110"/>
              <w:bottom w:type="dxa" w:w="80"/>
              <w:right w:type="dxa" w:w="110"/>
            </w:tcMar>
            <w:vAlign w:val="center"/>
          </w:tcPr>
          <w:p>
            <w:pPr>
              <w:spacing w:after="20" w:line="252"/>
            </w:pPr>
            <w:r>
              <w:rPr>
                <w:b/>
                <w:bCs/>
                <w:color w:val="B45309"/>
                <w:sz w:val="19"/>
                <w:szCs w:val="19"/>
              </w:rPr>
              <w:t xml:space="preserve">COMPLIANCE</w:t>
            </w:r>
          </w:p>
        </w:tc>
        <w:tc>
          <w:tcPr>
            <w:tcW w:type="dxa" w:w="3500"/>
            <w:shd w:fill="F1F5F9" w:val="clear"/>
            <w:tcMar>
              <w:top w:type="dxa" w:w="80"/>
              <w:left w:type="dxa" w:w="110"/>
              <w:bottom w:type="dxa" w:w="80"/>
              <w:right w:type="dxa" w:w="110"/>
            </w:tcMar>
            <w:vAlign w:val="center"/>
          </w:tcPr>
          <w:p>
            <w:pPr>
              <w:spacing w:after="20" w:line="252"/>
            </w:pPr>
            <w:r>
              <w:rPr>
                <w:color w:val="1E293B"/>
                <w:sz w:val="19"/>
                <w:szCs w:val="19"/>
              </w:rPr>
              <w:t xml:space="preserve">Assuro, checkpoint-ai, ToTra, RAI Toolkit</w:t>
            </w:r>
          </w:p>
        </w:tc>
        <w:tc>
          <w:tcPr>
            <w:tcW w:type="dxa" w:w="4360"/>
            <w:shd w:fill="F1F5F9" w:val="clear"/>
            <w:tcMar>
              <w:top w:type="dxa" w:w="80"/>
              <w:left w:type="dxa" w:w="110"/>
              <w:bottom w:type="dxa" w:w="80"/>
              <w:right w:type="dxa" w:w="110"/>
            </w:tcMar>
            <w:vAlign w:val="center"/>
          </w:tcPr>
          <w:p>
            <w:pPr>
              <w:spacing w:after="20" w:line="252"/>
            </w:pPr>
            <w:r>
              <w:rPr>
                <w:color w:val="1E293B"/>
                <w:sz w:val="19"/>
                <w:szCs w:val="19"/>
              </w:rPr>
              <w:t xml:space="preserve">Framework mapping, DPIA templates, audit trails, breach workflows, evidence reports</w:t>
            </w:r>
          </w:p>
        </w:tc>
      </w:tr>
      <w:tr>
        <w:tc>
          <w:tcPr>
            <w:tcW w:type="dxa" w:w="1500"/>
            <w:shd w:fill="FFFFFF" w:val="clear"/>
            <w:tcMar>
              <w:top w:type="dxa" w:w="80"/>
              <w:left w:type="dxa" w:w="110"/>
              <w:bottom w:type="dxa" w:w="80"/>
              <w:right w:type="dxa" w:w="110"/>
            </w:tcMar>
            <w:vAlign w:val="center"/>
          </w:tcPr>
          <w:p>
            <w:pPr>
              <w:spacing w:after="20" w:line="252"/>
            </w:pPr>
            <w:r>
              <w:rPr>
                <w:b/>
                <w:bCs/>
                <w:color w:val="047857"/>
                <w:sz w:val="19"/>
                <w:szCs w:val="19"/>
              </w:rPr>
              <w:t xml:space="preserve">DATA PROTECTION</w:t>
            </w:r>
          </w:p>
        </w:tc>
        <w:tc>
          <w:tcPr>
            <w:tcW w:type="dxa" w:w="3500"/>
            <w:shd w:fill="FFFFFF" w:val="clear"/>
            <w:tcMar>
              <w:top w:type="dxa" w:w="80"/>
              <w:left w:type="dxa" w:w="110"/>
              <w:bottom w:type="dxa" w:w="80"/>
              <w:right w:type="dxa" w:w="110"/>
            </w:tcMar>
            <w:vAlign w:val="center"/>
          </w:tcPr>
          <w:p>
            <w:pPr>
              <w:spacing w:after="20" w:line="252"/>
            </w:pPr>
            <w:r>
              <w:rPr>
                <w:color w:val="1E293B"/>
                <w:sz w:val="19"/>
                <w:szCs w:val="19"/>
              </w:rPr>
              <w:t xml:space="preserve">OpenGuardrails, PolicyAware, ToTra</w:t>
            </w:r>
          </w:p>
        </w:tc>
        <w:tc>
          <w:tcPr>
            <w:tcW w:type="dxa" w:w="4360"/>
            <w:shd w:fill="FFFFFF" w:val="clear"/>
            <w:tcMar>
              <w:top w:type="dxa" w:w="80"/>
              <w:left w:type="dxa" w:w="110"/>
              <w:bottom w:type="dxa" w:w="80"/>
              <w:right w:type="dxa" w:w="110"/>
            </w:tcMar>
            <w:vAlign w:val="center"/>
          </w:tcPr>
          <w:p>
            <w:pPr>
              <w:spacing w:after="20" w:line="252"/>
            </w:pPr>
            <w:r>
              <w:rPr>
                <w:color w:val="1E293B"/>
                <w:sz w:val="19"/>
                <w:szCs w:val="19"/>
              </w:rPr>
              <w:t xml:space="preserve">PII masking, data-subject rights, retention enforcement, minimisation at the edge</w:t>
            </w:r>
          </w:p>
        </w:tc>
      </w:tr>
    </w:tbl>
    <w:p>
      <w:pPr>
        <w:spacing w:after="120"/>
      </w:pPr>
    </w:p>
    <w:p>
      <w:pPr>
        <w:spacing w:after="120" w:line="276"/>
      </w:pPr>
      <w:r>
        <w:rPr>
          <w:i/>
          <w:iCs/>
          <w:color w:val="64748B"/>
          <w:sz w:val="21"/>
          <w:szCs w:val="21"/>
        </w:rPr>
        <w:t xml:space="preserve">The pattern: governance platforms cover Governance and Compliance deeply but only touch Security and Data Protection indirectly. Guardrail gateways cover Security and Data Protection deeply but don’t handle organisational structure. You need both.</w:t>
      </w:r>
    </w:p>
    <w:p>
      <w:pPr>
        <w:spacing w:after="120"/>
      </w:pPr>
    </w:p>
    <w:p>
      <w:r>
        <w:br w:type="page"/>
      </w:r>
    </w:p>
    <w:p>
      <w:pPr>
        <w:pStyle w:val="Heading1"/>
      </w:pPr>
      <w:r>
        <w:t xml:space="preserve">7.  Implementation roadmap (180 days)</w:t>
      </w:r>
    </w:p>
    <w:p>
      <w:pPr>
        <w:spacing w:after="120" w:line="276"/>
      </w:pPr>
      <w:r>
        <w:rPr>
          <w:sz w:val="21"/>
          <w:szCs w:val="21"/>
        </w:rPr>
        <w:t xml:space="preserve">Sequenced to match the NIST AI RMF functions: Govern first (know what you have), then Map + Measure (gates and evaluation), then Manage (runtime and continuous improvement).</w:t>
      </w:r>
    </w:p>
    <w:p>
      <w:pPr>
        <w:spacing w:after="0" w:before="120"/>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771650"/>
                    </a:xfrm>
                    <a:prstGeom prst="rect">
                      <a:avLst/>
                    </a:prstGeom>
                  </pic:spPr>
                </pic:pic>
              </a:graphicData>
            </a:graphic>
          </wp:inline>
        </w:drawing>
      </w:r>
    </w:p>
    <w:p>
      <w:pPr>
        <w:spacing w:after="240" w:before="60"/>
        <w:jc w:val="center"/>
      </w:pPr>
      <w:r>
        <w:rPr>
          <w:i/>
          <w:iCs/>
          <w:color w:val="64748B"/>
          <w:sz w:val="18"/>
          <w:szCs w:val="18"/>
        </w:rPr>
        <w:t xml:space="preserve">Figure 4 — EU AI Act compliance timeline with tool-readiness milestones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960"/>
        <w:gridCol w:w="240"/>
        <w:gridCol w:w="2960"/>
        <w:gridCol w:w="240"/>
        <w:gridCol w:w="2960"/>
      </w:tblGrid>
      <w:tr>
        <w:tc>
          <w:tcPr>
            <w:tcW w:type="dxa" w:w="2960"/>
            <w:tcBorders>
              <w:top w:val="single" w:color="2563EB" w:sz="24"/>
              <w:left w:val="none" w:color="FFFFFF" w:sz="0"/>
              <w:bottom w:val="none" w:color="FFFFFF" w:sz="0"/>
              <w:right w:val="none" w:color="FFFFFF" w:sz="0"/>
            </w:tcBorders>
            <w:shd w:fill="EFF6FF" w:val="clear"/>
            <w:tcMar>
              <w:top w:type="dxa" w:w="200"/>
              <w:left w:type="dxa" w:w="200"/>
              <w:bottom w:type="dxa" w:w="200"/>
              <w:right w:type="dxa" w:w="200"/>
            </w:tcMar>
            <w:vAlign w:val="top"/>
          </w:tcPr>
          <w:p>
            <w:pPr>
              <w:spacing w:after="60"/>
            </w:pPr>
            <w:r>
              <w:rPr>
                <w:b/>
                <w:bCs/>
                <w:color w:val="2563EB"/>
                <w:sz w:val="38"/>
                <w:szCs w:val="38"/>
              </w:rPr>
              <w:t xml:space="preserve">Day 30</w:t>
            </w:r>
          </w:p>
          <w:p>
            <w:pPr>
              <w:spacing w:after="80"/>
            </w:pPr>
            <w:r>
              <w:rPr>
                <w:b/>
                <w:bCs/>
                <w:color w:val="1E293B"/>
                <w:sz w:val="20"/>
                <w:szCs w:val="20"/>
              </w:rPr>
              <w:t xml:space="preserve">Structure</w:t>
            </w:r>
          </w:p>
          <w:p>
            <w:pPr>
              <w:spacing w:after="50" w:line="252"/>
            </w:pPr>
            <w:r>
              <w:rPr>
                <w:color w:val="334155"/>
                <w:sz w:val="18"/>
                <w:szCs w:val="18"/>
              </w:rPr>
              <w:t xml:space="preserve">AI estate visible, risks scored, owners named</w:t>
            </w:r>
          </w:p>
        </w:tc>
        <w:tc>
          <w:tcPr>
            <w:tcW w:type="dxa" w:w="240"/>
            <w:tcBorders>
              <w:top w:val="none" w:color="FFFFFF" w:sz="0"/>
              <w:left w:val="none" w:color="FFFFFF" w:sz="0"/>
              <w:bottom w:val="none" w:color="FFFFFF" w:sz="0"/>
              <w:right w:val="none" w:color="FFFFFF" w:sz="0"/>
            </w:tcBorders>
          </w:tcPr>
          <w:p>
            <w:r>
              <w:t xml:space="preserve"/>
            </w:r>
          </w:p>
        </w:tc>
        <w:tc>
          <w:tcPr>
            <w:tcW w:type="dxa" w:w="2960"/>
            <w:tcBorders>
              <w:top w:val="single" w:color="6D28D9" w:sz="24"/>
              <w:left w:val="none" w:color="FFFFFF" w:sz="0"/>
              <w:bottom w:val="none" w:color="FFFFFF" w:sz="0"/>
              <w:right w:val="none" w:color="FFFFFF" w:sz="0"/>
            </w:tcBorders>
            <w:shd w:fill="F5F3FF" w:val="clear"/>
            <w:tcMar>
              <w:top w:type="dxa" w:w="200"/>
              <w:left w:type="dxa" w:w="200"/>
              <w:bottom w:type="dxa" w:w="200"/>
              <w:right w:type="dxa" w:w="200"/>
            </w:tcMar>
            <w:vAlign w:val="top"/>
          </w:tcPr>
          <w:p>
            <w:pPr>
              <w:spacing w:after="60"/>
            </w:pPr>
            <w:r>
              <w:rPr>
                <w:b/>
                <w:bCs/>
                <w:color w:val="6D28D9"/>
                <w:sz w:val="38"/>
                <w:szCs w:val="38"/>
              </w:rPr>
              <w:t xml:space="preserve">Day 60</w:t>
            </w:r>
          </w:p>
          <w:p>
            <w:pPr>
              <w:spacing w:after="80"/>
            </w:pPr>
            <w:r>
              <w:rPr>
                <w:b/>
                <w:bCs/>
                <w:color w:val="1E293B"/>
                <w:sz w:val="20"/>
                <w:szCs w:val="20"/>
              </w:rPr>
              <w:t xml:space="preserve">Gates</w:t>
            </w:r>
          </w:p>
          <w:p>
            <w:pPr>
              <w:spacing w:after="50" w:line="252"/>
            </w:pPr>
            <w:r>
              <w:rPr>
                <w:color w:val="334155"/>
                <w:sz w:val="18"/>
                <w:szCs w:val="18"/>
              </w:rPr>
              <w:t xml:space="preserve">Non-compliant workloads cannot deploy</w:t>
            </w:r>
          </w:p>
        </w:tc>
        <w:tc>
          <w:tcPr>
            <w:tcW w:type="dxa" w:w="240"/>
            <w:tcBorders>
              <w:top w:val="none" w:color="FFFFFF" w:sz="0"/>
              <w:left w:val="none" w:color="FFFFFF" w:sz="0"/>
              <w:bottom w:val="none" w:color="FFFFFF" w:sz="0"/>
              <w:right w:val="none" w:color="FFFFFF" w:sz="0"/>
            </w:tcBorders>
          </w:tcPr>
          <w:p>
            <w:r>
              <w:t xml:space="preserve"/>
            </w:r>
          </w:p>
        </w:tc>
        <w:tc>
          <w:tcPr>
            <w:tcW w:type="dxa" w:w="2960"/>
            <w:tcBorders>
              <w:top w:val="single" w:color="B91C1C" w:sz="24"/>
              <w:left w:val="none" w:color="FFFFFF" w:sz="0"/>
              <w:bottom w:val="none" w:color="FFFFFF" w:sz="0"/>
              <w:right w:val="none" w:color="FFFFFF" w:sz="0"/>
            </w:tcBorders>
            <w:shd w:fill="FEF2F2" w:val="clear"/>
            <w:tcMar>
              <w:top w:type="dxa" w:w="200"/>
              <w:left w:type="dxa" w:w="200"/>
              <w:bottom w:type="dxa" w:w="200"/>
              <w:right w:type="dxa" w:w="200"/>
            </w:tcMar>
            <w:vAlign w:val="top"/>
          </w:tcPr>
          <w:p>
            <w:pPr>
              <w:spacing w:after="60"/>
            </w:pPr>
            <w:r>
              <w:rPr>
                <w:b/>
                <w:bCs/>
                <w:color w:val="B91C1C"/>
                <w:sz w:val="38"/>
                <w:szCs w:val="38"/>
              </w:rPr>
              <w:t xml:space="preserve">Day 90</w:t>
            </w:r>
          </w:p>
          <w:p>
            <w:pPr>
              <w:spacing w:after="80"/>
            </w:pPr>
            <w:r>
              <w:rPr>
                <w:b/>
                <w:bCs/>
                <w:color w:val="1E293B"/>
                <w:sz w:val="20"/>
                <w:szCs w:val="20"/>
              </w:rPr>
              <w:t xml:space="preserve">Runtime</w:t>
            </w:r>
          </w:p>
          <w:p>
            <w:pPr>
              <w:spacing w:after="50" w:line="252"/>
            </w:pPr>
            <w:r>
              <w:rPr>
                <w:color w:val="334155"/>
                <w:sz w:val="18"/>
                <w:szCs w:val="18"/>
              </w:rPr>
              <w:t xml:space="preserve">All LLM traffic governed, PII masked</w:t>
            </w:r>
          </w:p>
        </w:tc>
      </w:tr>
    </w:tbl>
    <w:p>
      <w:pPr>
        <w:spacing w:after="8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500"/>
        <w:gridCol w:w="1350"/>
        <w:gridCol w:w="4300"/>
        <w:gridCol w:w="2210"/>
      </w:tblGrid>
      <w:tr>
        <w:trPr>
          <w:tblHeader/>
        </w:trPr>
        <w:tc>
          <w:tcPr>
            <w:tcW w:type="dxa" w:w="1500"/>
            <w:shd w:fill="1F3A5F" w:val="clear"/>
            <w:tcMar>
              <w:top w:type="dxa" w:w="80"/>
              <w:left w:type="dxa" w:w="110"/>
              <w:bottom w:type="dxa" w:w="80"/>
              <w:right w:type="dxa" w:w="110"/>
            </w:tcMar>
            <w:vAlign w:val="center"/>
          </w:tcPr>
          <w:p>
            <w:pPr>
              <w:spacing w:after="20" w:line="252"/>
            </w:pPr>
            <w:r>
              <w:rPr>
                <w:b/>
                <w:bCs/>
                <w:color w:val="FFFFFF"/>
                <w:sz w:val="19"/>
                <w:szCs w:val="19"/>
              </w:rPr>
              <w:t xml:space="preserve">Phase</w:t>
            </w:r>
          </w:p>
        </w:tc>
        <w:tc>
          <w:tcPr>
            <w:tcW w:type="dxa" w:w="1350"/>
            <w:shd w:fill="1F3A5F" w:val="clear"/>
            <w:tcMar>
              <w:top w:type="dxa" w:w="80"/>
              <w:left w:type="dxa" w:w="110"/>
              <w:bottom w:type="dxa" w:w="80"/>
              <w:right w:type="dxa" w:w="110"/>
            </w:tcMar>
            <w:vAlign w:val="center"/>
          </w:tcPr>
          <w:p>
            <w:pPr>
              <w:spacing w:after="20" w:line="252"/>
            </w:pPr>
            <w:r>
              <w:rPr>
                <w:b/>
                <w:bCs/>
                <w:color w:val="FFFFFF"/>
                <w:sz w:val="19"/>
                <w:szCs w:val="19"/>
              </w:rPr>
              <w:t xml:space="preserve">Timeframe</w:t>
            </w:r>
          </w:p>
        </w:tc>
        <w:tc>
          <w:tcPr>
            <w:tcW w:type="dxa" w:w="4300"/>
            <w:shd w:fill="1F3A5F" w:val="clear"/>
            <w:tcMar>
              <w:top w:type="dxa" w:w="80"/>
              <w:left w:type="dxa" w:w="110"/>
              <w:bottom w:type="dxa" w:w="80"/>
              <w:right w:type="dxa" w:w="110"/>
            </w:tcMar>
            <w:vAlign w:val="center"/>
          </w:tcPr>
          <w:p>
            <w:pPr>
              <w:spacing w:after="20" w:line="252"/>
            </w:pPr>
            <w:r>
              <w:rPr>
                <w:b/>
                <w:bCs/>
                <w:color w:val="FFFFFF"/>
                <w:sz w:val="19"/>
                <w:szCs w:val="19"/>
              </w:rPr>
              <w:t xml:space="preserve">Actions</w:t>
            </w:r>
          </w:p>
        </w:tc>
        <w:tc>
          <w:tcPr>
            <w:tcW w:type="dxa" w:w="2210"/>
            <w:shd w:fill="1F3A5F" w:val="clear"/>
            <w:tcMar>
              <w:top w:type="dxa" w:w="80"/>
              <w:left w:type="dxa" w:w="110"/>
              <w:bottom w:type="dxa" w:w="80"/>
              <w:right w:type="dxa" w:w="110"/>
            </w:tcMar>
            <w:vAlign w:val="center"/>
          </w:tcPr>
          <w:p>
            <w:pPr>
              <w:spacing w:after="20" w:line="252"/>
            </w:pPr>
            <w:r>
              <w:rPr>
                <w:b/>
                <w:bCs/>
                <w:color w:val="FFFFFF"/>
                <w:sz w:val="19"/>
                <w:szCs w:val="19"/>
              </w:rPr>
              <w:t xml:space="preserve">Outcome</w:t>
            </w:r>
          </w:p>
        </w:tc>
      </w:tr>
      <w:tr>
        <w:tc>
          <w:tcPr>
            <w:tcW w:type="dxa" w:w="1500"/>
            <w:shd w:fill="FFFFFF" w:val="clear"/>
            <w:tcMar>
              <w:top w:type="dxa" w:w="80"/>
              <w:left w:type="dxa" w:w="110"/>
              <w:bottom w:type="dxa" w:w="80"/>
              <w:right w:type="dxa" w:w="110"/>
            </w:tcMar>
            <w:vAlign w:val="center"/>
          </w:tcPr>
          <w:p>
            <w:pPr>
              <w:spacing w:after="20" w:line="252"/>
            </w:pPr>
            <w:r>
              <w:rPr>
                <w:b/>
                <w:bCs/>
                <w:color w:val="2563EB"/>
                <w:sz w:val="19"/>
                <w:szCs w:val="19"/>
              </w:rPr>
              <w:t xml:space="preserve">1 — Structure</w:t>
            </w:r>
          </w:p>
        </w:tc>
        <w:tc>
          <w:tcPr>
            <w:tcW w:type="dxa" w:w="1350"/>
            <w:shd w:fill="FFFFFF" w:val="clear"/>
            <w:tcMar>
              <w:top w:type="dxa" w:w="80"/>
              <w:left w:type="dxa" w:w="110"/>
              <w:bottom w:type="dxa" w:w="80"/>
              <w:right w:type="dxa" w:w="110"/>
            </w:tcMar>
            <w:vAlign w:val="center"/>
          </w:tcPr>
          <w:p>
            <w:pPr>
              <w:spacing w:after="20" w:line="252"/>
            </w:pPr>
            <w:r>
              <w:rPr>
                <w:color w:val="1E293B"/>
                <w:sz w:val="19"/>
                <w:szCs w:val="19"/>
              </w:rPr>
              <w:t xml:space="preserve">0–30 days</w:t>
            </w:r>
          </w:p>
        </w:tc>
        <w:tc>
          <w:tcPr>
            <w:tcW w:type="dxa" w:w="4300"/>
            <w:shd w:fill="FFFFFF" w:val="clear"/>
            <w:tcMar>
              <w:top w:type="dxa" w:w="80"/>
              <w:left w:type="dxa" w:w="110"/>
              <w:bottom w:type="dxa" w:w="80"/>
              <w:right w:type="dxa" w:w="110"/>
            </w:tcMar>
            <w:vAlign w:val="center"/>
          </w:tcPr>
          <w:p>
            <w:pPr>
              <w:spacing w:after="20" w:line="252"/>
            </w:pPr>
            <w:r>
              <w:rPr>
                <w:color w:val="1E293B"/>
                <w:sz w:val="19"/>
                <w:szCs w:val="19"/>
              </w:rPr>
              <w:t xml:space="preserve">Deploy Assuro or ai-governance-framework; register all AI systems; compute risk scores; map controls to NIST/EU AI Act/ISO 42001; generate model cards; name risk owners</w:t>
            </w:r>
          </w:p>
        </w:tc>
        <w:tc>
          <w:tcPr>
            <w:tcW w:type="dxa" w:w="2210"/>
            <w:shd w:fill="FFFFFF" w:val="clear"/>
            <w:tcMar>
              <w:top w:type="dxa" w:w="80"/>
              <w:left w:type="dxa" w:w="110"/>
              <w:bottom w:type="dxa" w:w="80"/>
              <w:right w:type="dxa" w:w="110"/>
            </w:tcMar>
            <w:vAlign w:val="center"/>
          </w:tcPr>
          <w:p>
            <w:pPr>
              <w:spacing w:after="20" w:line="252"/>
            </w:pPr>
            <w:r>
              <w:rPr>
                <w:color w:val="1E293B"/>
                <w:sz w:val="19"/>
                <w:szCs w:val="19"/>
              </w:rPr>
              <w:t xml:space="preserve">Visible AI estate with scored risks and owners</w:t>
            </w:r>
          </w:p>
        </w:tc>
      </w:tr>
      <w:tr>
        <w:tc>
          <w:tcPr>
            <w:tcW w:type="dxa" w:w="1500"/>
            <w:shd w:fill="F1F5F9" w:val="clear"/>
            <w:tcMar>
              <w:top w:type="dxa" w:w="80"/>
              <w:left w:type="dxa" w:w="110"/>
              <w:bottom w:type="dxa" w:w="80"/>
              <w:right w:type="dxa" w:w="110"/>
            </w:tcMar>
            <w:vAlign w:val="center"/>
          </w:tcPr>
          <w:p>
            <w:pPr>
              <w:spacing w:after="20" w:line="252"/>
            </w:pPr>
            <w:r>
              <w:rPr>
                <w:b/>
                <w:bCs/>
                <w:color w:val="6D28D9"/>
                <w:sz w:val="19"/>
                <w:szCs w:val="19"/>
              </w:rPr>
              <w:t xml:space="preserve">2 — Gates</w:t>
            </w:r>
          </w:p>
        </w:tc>
        <w:tc>
          <w:tcPr>
            <w:tcW w:type="dxa" w:w="1350"/>
            <w:shd w:fill="F1F5F9" w:val="clear"/>
            <w:tcMar>
              <w:top w:type="dxa" w:w="80"/>
              <w:left w:type="dxa" w:w="110"/>
              <w:bottom w:type="dxa" w:w="80"/>
              <w:right w:type="dxa" w:w="110"/>
            </w:tcMar>
            <w:vAlign w:val="center"/>
          </w:tcPr>
          <w:p>
            <w:pPr>
              <w:spacing w:after="20" w:line="252"/>
            </w:pPr>
            <w:r>
              <w:rPr>
                <w:color w:val="1E293B"/>
                <w:sz w:val="19"/>
                <w:szCs w:val="19"/>
              </w:rPr>
              <w:t xml:space="preserve">30–60 days</w:t>
            </w:r>
          </w:p>
        </w:tc>
        <w:tc>
          <w:tcPr>
            <w:tcW w:type="dxa" w:w="4300"/>
            <w:shd w:fill="F1F5F9" w:val="clear"/>
            <w:tcMar>
              <w:top w:type="dxa" w:w="80"/>
              <w:left w:type="dxa" w:w="110"/>
              <w:bottom w:type="dxa" w:w="80"/>
              <w:right w:type="dxa" w:w="110"/>
            </w:tcMar>
            <w:vAlign w:val="center"/>
          </w:tcPr>
          <w:p>
            <w:pPr>
              <w:spacing w:after="20" w:line="252"/>
            </w:pPr>
            <w:r>
              <w:rPr>
                <w:color w:val="1E293B"/>
                <w:sz w:val="19"/>
                <w:szCs w:val="19"/>
              </w:rPr>
              <w:t xml:space="preserve">Integrate OPA bundle into K8s/Terraform/CI; require risk tier, data lineage, prompt versioning, audit sinks; run checkpoint-ai self-assessments with SARIF output</w:t>
            </w:r>
          </w:p>
        </w:tc>
        <w:tc>
          <w:tcPr>
            <w:tcW w:type="dxa" w:w="2210"/>
            <w:shd w:fill="F1F5F9" w:val="clear"/>
            <w:tcMar>
              <w:top w:type="dxa" w:w="80"/>
              <w:left w:type="dxa" w:w="110"/>
              <w:bottom w:type="dxa" w:w="80"/>
              <w:right w:type="dxa" w:w="110"/>
            </w:tcMar>
            <w:vAlign w:val="center"/>
          </w:tcPr>
          <w:p>
            <w:pPr>
              <w:spacing w:after="20" w:line="252"/>
            </w:pPr>
            <w:r>
              <w:rPr>
                <w:color w:val="1E293B"/>
                <w:sz w:val="19"/>
                <w:szCs w:val="19"/>
              </w:rPr>
              <w:t xml:space="preserve">Non-compliant workloads cannot deploy</w:t>
            </w:r>
          </w:p>
        </w:tc>
      </w:tr>
      <w:tr>
        <w:tc>
          <w:tcPr>
            <w:tcW w:type="dxa" w:w="1500"/>
            <w:shd w:fill="FFFFFF" w:val="clear"/>
            <w:tcMar>
              <w:top w:type="dxa" w:w="80"/>
              <w:left w:type="dxa" w:w="110"/>
              <w:bottom w:type="dxa" w:w="80"/>
              <w:right w:type="dxa" w:w="110"/>
            </w:tcMar>
            <w:vAlign w:val="center"/>
          </w:tcPr>
          <w:p>
            <w:pPr>
              <w:spacing w:after="20" w:line="252"/>
            </w:pPr>
            <w:r>
              <w:rPr>
                <w:b/>
                <w:bCs/>
                <w:color w:val="B91C1C"/>
                <w:sz w:val="19"/>
                <w:szCs w:val="19"/>
              </w:rPr>
              <w:t xml:space="preserve">3 — Runtime</w:t>
            </w:r>
          </w:p>
        </w:tc>
        <w:tc>
          <w:tcPr>
            <w:tcW w:type="dxa" w:w="1350"/>
            <w:shd w:fill="FFFFFF" w:val="clear"/>
            <w:tcMar>
              <w:top w:type="dxa" w:w="80"/>
              <w:left w:type="dxa" w:w="110"/>
              <w:bottom w:type="dxa" w:w="80"/>
              <w:right w:type="dxa" w:w="110"/>
            </w:tcMar>
            <w:vAlign w:val="center"/>
          </w:tcPr>
          <w:p>
            <w:pPr>
              <w:spacing w:after="20" w:line="252"/>
            </w:pPr>
            <w:r>
              <w:rPr>
                <w:color w:val="1E293B"/>
                <w:sz w:val="19"/>
                <w:szCs w:val="19"/>
              </w:rPr>
              <w:t xml:space="preserve">60–90 days</w:t>
            </w:r>
          </w:p>
        </w:tc>
        <w:tc>
          <w:tcPr>
            <w:tcW w:type="dxa" w:w="4300"/>
            <w:shd w:fill="FFFFFF" w:val="clear"/>
            <w:tcMar>
              <w:top w:type="dxa" w:w="80"/>
              <w:left w:type="dxa" w:w="110"/>
              <w:bottom w:type="dxa" w:w="80"/>
              <w:right w:type="dxa" w:w="110"/>
            </w:tcMar>
            <w:vAlign w:val="center"/>
          </w:tcPr>
          <w:p>
            <w:pPr>
              <w:spacing w:after="20" w:line="252"/>
            </w:pPr>
            <w:r>
              <w:rPr>
                <w:color w:val="1E293B"/>
                <w:sz w:val="19"/>
                <w:szCs w:val="19"/>
              </w:rPr>
              <w:t xml:space="preserve">Deploy NeMo Guardrails or OpenGuardrails as gateway proxy; route all LLM traffic through it; PII redacted before data leaves network; hash-chained audit log on every request</w:t>
            </w:r>
          </w:p>
        </w:tc>
        <w:tc>
          <w:tcPr>
            <w:tcW w:type="dxa" w:w="2210"/>
            <w:shd w:fill="FFFFFF" w:val="clear"/>
            <w:tcMar>
              <w:top w:type="dxa" w:w="80"/>
              <w:left w:type="dxa" w:w="110"/>
              <w:bottom w:type="dxa" w:w="80"/>
              <w:right w:type="dxa" w:w="110"/>
            </w:tcMar>
            <w:vAlign w:val="center"/>
          </w:tcPr>
          <w:p>
            <w:pPr>
              <w:spacing w:after="20" w:line="252"/>
            </w:pPr>
            <w:r>
              <w:rPr>
                <w:color w:val="1E293B"/>
                <w:sz w:val="19"/>
                <w:szCs w:val="19"/>
              </w:rPr>
              <w:t xml:space="preserve">Zero-code-change enforcement for all apps</w:t>
            </w:r>
          </w:p>
        </w:tc>
      </w:tr>
      <w:tr>
        <w:tc>
          <w:tcPr>
            <w:tcW w:type="dxa" w:w="1500"/>
            <w:shd w:fill="F1F5F9" w:val="clear"/>
            <w:tcMar>
              <w:top w:type="dxa" w:w="80"/>
              <w:left w:type="dxa" w:w="110"/>
              <w:bottom w:type="dxa" w:w="80"/>
              <w:right w:type="dxa" w:w="110"/>
            </w:tcMar>
            <w:vAlign w:val="center"/>
          </w:tcPr>
          <w:p>
            <w:pPr>
              <w:spacing w:after="20" w:line="252"/>
            </w:pPr>
            <w:r>
              <w:rPr>
                <w:b/>
                <w:bCs/>
                <w:color w:val="B45309"/>
                <w:sz w:val="19"/>
                <w:szCs w:val="19"/>
              </w:rPr>
              <w:t xml:space="preserve">4 — Eval</w:t>
            </w:r>
          </w:p>
        </w:tc>
        <w:tc>
          <w:tcPr>
            <w:tcW w:type="dxa" w:w="1350"/>
            <w:shd w:fill="F1F5F9" w:val="clear"/>
            <w:tcMar>
              <w:top w:type="dxa" w:w="80"/>
              <w:left w:type="dxa" w:w="110"/>
              <w:bottom w:type="dxa" w:w="80"/>
              <w:right w:type="dxa" w:w="110"/>
            </w:tcMar>
            <w:vAlign w:val="center"/>
          </w:tcPr>
          <w:p>
            <w:pPr>
              <w:spacing w:after="20" w:line="252"/>
            </w:pPr>
            <w:r>
              <w:rPr>
                <w:color w:val="1E293B"/>
                <w:sz w:val="19"/>
                <w:szCs w:val="19"/>
              </w:rPr>
              <w:t xml:space="preserve">90–180 days</w:t>
            </w:r>
          </w:p>
        </w:tc>
        <w:tc>
          <w:tcPr>
            <w:tcW w:type="dxa" w:w="4300"/>
            <w:shd w:fill="F1F5F9" w:val="clear"/>
            <w:tcMar>
              <w:top w:type="dxa" w:w="80"/>
              <w:left w:type="dxa" w:w="110"/>
              <w:bottom w:type="dxa" w:w="80"/>
              <w:right w:type="dxa" w:w="110"/>
            </w:tcMar>
            <w:vAlign w:val="center"/>
          </w:tcPr>
          <w:p>
            <w:pPr>
              <w:spacing w:after="20" w:line="252"/>
            </w:pPr>
            <w:r>
              <w:rPr>
                <w:color w:val="1E293B"/>
                <w:sz w:val="19"/>
                <w:szCs w:val="19"/>
              </w:rPr>
              <w:t xml:space="preserve">Schedule RAI Toolkit red-team runs; pair with AIF360/Fairlearn for bias on production samples; drift dashboards; quarterly governance reports</w:t>
            </w:r>
          </w:p>
        </w:tc>
        <w:tc>
          <w:tcPr>
            <w:tcW w:type="dxa" w:w="2210"/>
            <w:shd w:fill="F1F5F9" w:val="clear"/>
            <w:tcMar>
              <w:top w:type="dxa" w:w="80"/>
              <w:left w:type="dxa" w:w="110"/>
              <w:bottom w:type="dxa" w:w="80"/>
              <w:right w:type="dxa" w:w="110"/>
            </w:tcMar>
            <w:vAlign w:val="center"/>
          </w:tcPr>
          <w:p>
            <w:pPr>
              <w:spacing w:after="20" w:line="252"/>
            </w:pPr>
            <w:r>
              <w:rPr>
                <w:color w:val="1E293B"/>
                <w:sz w:val="19"/>
                <w:szCs w:val="19"/>
              </w:rPr>
              <w:t xml:space="preserve">Continuous evidence generation for auditors</w:t>
            </w:r>
          </w:p>
        </w:tc>
      </w:tr>
    </w:tbl>
    <w:p>
      <w:pPr>
        <w:spacing w:after="120"/>
      </w:pPr>
    </w:p>
    <w:tbl>
      <w:tblPr>
        <w:tblW w:type="dxa" w:w="9360"/>
        <w:tblBorders>
          <w:top w:val="none" w:color="FFFFFF" w:sz="0"/>
          <w:left w:val="single" w:color="B45309" w:sz="28"/>
          <w:bottom w:val="none" w:color="FFFFFF" w:sz="0"/>
          <w:right w:val="none" w:color="FFFFFF" w:sz="0"/>
          <w:insideH w:val="none" w:color="FFFFFF" w:sz="0"/>
          <w:insideV w:val="none" w:color="FFFFFF" w:sz="0"/>
        </w:tblBorders>
      </w:tblPr>
      <w:tblGrid>
        <w:gridCol w:w="9360"/>
      </w:tblGrid>
      <w:tr>
        <w:tc>
          <w:tcPr>
            <w:tcW w:type="dxa" w:w="9360"/>
            <w:shd w:fill="FFFBEB" w:val="clear"/>
            <w:tcMar>
              <w:top w:type="dxa" w:w="120"/>
              <w:left w:type="dxa" w:w="160"/>
              <w:bottom w:type="dxa" w:w="120"/>
              <w:right w:type="dxa" w:w="160"/>
            </w:tcMar>
          </w:tcPr>
          <w:p>
            <w:pPr>
              <w:spacing w:after="80"/>
            </w:pPr>
            <w:r>
              <w:rPr>
                <w:b/>
                <w:bCs/>
                <w:color w:val="B45309"/>
                <w:sz w:val="21"/>
                <w:szCs w:val="21"/>
              </w:rPr>
              <w:t xml:space="preserve">EU AI Act deadline</w:t>
            </w:r>
          </w:p>
          <w:p>
            <w:pPr>
              <w:spacing w:after="120" w:line="276"/>
            </w:pPr>
            <w:r>
              <w:rPr>
                <w:sz w:val="21"/>
                <w:szCs w:val="21"/>
              </w:rPr>
              <w:t xml:space="preserve">High-risk (Annex III) obligations apply from 2 August 2026. Teams building high-risk AI systems should treat this as the hard deadline for having the full four-layer stack operational. DPDPA full enforcement follows in May 2027.</w:t>
            </w:r>
          </w:p>
        </w:tc>
      </w:tr>
    </w:tbl>
    <w:p>
      <w:pPr>
        <w:spacing w:after="120"/>
      </w:pPr>
    </w:p>
    <w:p>
      <w:r>
        <w:br w:type="page"/>
      </w:r>
    </w:p>
    <w:p>
      <w:pPr>
        <w:pStyle w:val="Heading1"/>
      </w:pPr>
      <w:r>
        <w:t xml:space="preserve">8.  References</w:t>
      </w:r>
    </w:p>
    <w:p>
      <w:pPr>
        <w:pStyle w:val="ListParagraph"/>
        <w:numPr>
          <w:ilvl w:val="0"/>
          <w:numId w:val="2"/>
        </w:numPr>
        <w:spacing w:after="60" w:line="264"/>
      </w:pPr>
      <w:r>
        <w:rPr>
          <w:sz w:val="21"/>
          <w:szCs w:val="21"/>
        </w:rPr>
        <w:t xml:space="preserve">NIST AI 100-1 — AI Risk Management Framework 1.0 — </w:t>
      </w:r>
      <w:hyperlink w:history="1" r:id="rIdc-vziqaai3-jjaoa3-8ko">
        <w:r>
          <w:rPr>
            <w:rStyle w:val="Hyperlink"/>
            <w:sz w:val="21"/>
            <w:szCs w:val="21"/>
          </w:rPr>
          <w:t xml:space="preserve">doi.org</w:t>
        </w:r>
      </w:hyperlink>
    </w:p>
    <w:p>
      <w:pPr>
        <w:pStyle w:val="ListParagraph"/>
        <w:numPr>
          <w:ilvl w:val="0"/>
          <w:numId w:val="2"/>
        </w:numPr>
        <w:spacing w:after="60" w:line="264"/>
      </w:pPr>
      <w:r>
        <w:rPr>
          <w:sz w:val="21"/>
          <w:szCs w:val="21"/>
        </w:rPr>
        <w:t xml:space="preserve">NIST AI 600-1 — Generative AI Profile — </w:t>
      </w:r>
      <w:hyperlink w:history="1" r:id="rIdn5ox_fnmcf-3hyvdkawzk">
        <w:r>
          <w:rPr>
            <w:rStyle w:val="Hyperlink"/>
            <w:sz w:val="21"/>
            <w:szCs w:val="21"/>
          </w:rPr>
          <w:t xml:space="preserve">airc.nist.gov</w:t>
        </w:r>
      </w:hyperlink>
    </w:p>
    <w:p>
      <w:pPr>
        <w:pStyle w:val="ListParagraph"/>
        <w:numPr>
          <w:ilvl w:val="0"/>
          <w:numId w:val="2"/>
        </w:numPr>
        <w:spacing w:after="60" w:line="264"/>
      </w:pPr>
      <w:r>
        <w:rPr>
          <w:sz w:val="21"/>
          <w:szCs w:val="21"/>
        </w:rPr>
        <w:t xml:space="preserve">EU AI Act — Official Journal — </w:t>
      </w:r>
      <w:hyperlink w:history="1" r:id="rId5e4rctgdodum3rwdmxite">
        <w:r>
          <w:rPr>
            <w:rStyle w:val="Hyperlink"/>
            <w:sz w:val="21"/>
            <w:szCs w:val="21"/>
          </w:rPr>
          <w:t xml:space="preserve">eur-lex.europa.eu</w:t>
        </w:r>
      </w:hyperlink>
    </w:p>
    <w:p>
      <w:pPr>
        <w:pStyle w:val="ListParagraph"/>
        <w:numPr>
          <w:ilvl w:val="0"/>
          <w:numId w:val="2"/>
        </w:numPr>
        <w:spacing w:after="60" w:line="264"/>
      </w:pPr>
      <w:r>
        <w:rPr>
          <w:sz w:val="21"/>
          <w:szCs w:val="21"/>
        </w:rPr>
        <w:t xml:space="preserve">ISO/IEC 42001:2023 — AI Management System — </w:t>
      </w:r>
      <w:hyperlink w:history="1" r:id="rIdrevn4qatsio3qt6rqmuoz">
        <w:r>
          <w:rPr>
            <w:rStyle w:val="Hyperlink"/>
            <w:sz w:val="21"/>
            <w:szCs w:val="21"/>
          </w:rPr>
          <w:t xml:space="preserve">www.iso.org</w:t>
        </w:r>
      </w:hyperlink>
    </w:p>
    <w:p>
      <w:pPr>
        <w:pStyle w:val="ListParagraph"/>
        <w:numPr>
          <w:ilvl w:val="0"/>
          <w:numId w:val="2"/>
        </w:numPr>
        <w:spacing w:after="60" w:line="264"/>
      </w:pPr>
      <w:r>
        <w:rPr>
          <w:sz w:val="21"/>
          <w:szCs w:val="21"/>
        </w:rPr>
        <w:t xml:space="preserve">NVIDIA NeMo Guardrails — </w:t>
      </w:r>
      <w:hyperlink w:history="1" r:id="rIdlpa74dfqj89gmyvihz6wj">
        <w:r>
          <w:rPr>
            <w:rStyle w:val="Hyperlink"/>
            <w:sz w:val="21"/>
            <w:szCs w:val="21"/>
          </w:rPr>
          <w:t xml:space="preserve">github.com</w:t>
        </w:r>
      </w:hyperlink>
    </w:p>
    <w:p>
      <w:pPr>
        <w:pStyle w:val="ListParagraph"/>
        <w:numPr>
          <w:ilvl w:val="0"/>
          <w:numId w:val="2"/>
        </w:numPr>
        <w:spacing w:after="60" w:line="264"/>
      </w:pPr>
      <w:r>
        <w:rPr>
          <w:sz w:val="21"/>
          <w:szCs w:val="21"/>
        </w:rPr>
        <w:t xml:space="preserve">IBM AI Fairness 360 — </w:t>
      </w:r>
      <w:hyperlink w:history="1" r:id="rIdznweevocad0zidgi7h7tv">
        <w:r>
          <w:rPr>
            <w:rStyle w:val="Hyperlink"/>
            <w:sz w:val="21"/>
            <w:szCs w:val="21"/>
          </w:rPr>
          <w:t xml:space="preserve">aif360.res.ibm.com</w:t>
        </w:r>
      </w:hyperlink>
    </w:p>
    <w:p>
      <w:pPr>
        <w:pStyle w:val="ListParagraph"/>
        <w:numPr>
          <w:ilvl w:val="0"/>
          <w:numId w:val="2"/>
        </w:numPr>
        <w:spacing w:after="60" w:line="264"/>
      </w:pPr>
      <w:r>
        <w:rPr>
          <w:sz w:val="21"/>
          <w:szCs w:val="21"/>
        </w:rPr>
        <w:t xml:space="preserve">Microsoft Fairlearn — </w:t>
      </w:r>
      <w:hyperlink w:history="1" r:id="rId5ikd41kndwt4d347i34kp">
        <w:r>
          <w:rPr>
            <w:rStyle w:val="Hyperlink"/>
            <w:sz w:val="21"/>
            <w:szCs w:val="21"/>
          </w:rPr>
          <w:t xml:space="preserve">fairlearn.org</w:t>
        </w:r>
      </w:hyperlink>
    </w:p>
    <w:p>
      <w:pPr>
        <w:pStyle w:val="ListParagraph"/>
        <w:numPr>
          <w:ilvl w:val="0"/>
          <w:numId w:val="2"/>
        </w:numPr>
        <w:spacing w:after="60" w:line="264"/>
      </w:pPr>
      <w:r>
        <w:rPr>
          <w:sz w:val="21"/>
          <w:szCs w:val="21"/>
        </w:rPr>
        <w:t xml:space="preserve">IBM AI Explainability 360 — </w:t>
      </w:r>
      <w:hyperlink w:history="1" r:id="rIdbvfvp5w2erhbsq7htonm_">
        <w:r>
          <w:rPr>
            <w:rStyle w:val="Hyperlink"/>
            <w:sz w:val="21"/>
            <w:szCs w:val="21"/>
          </w:rPr>
          <w:t xml:space="preserve">aix360.res.ibm.com</w:t>
        </w:r>
      </w:hyperlink>
    </w:p>
    <w:p>
      <w:pPr>
        <w:pStyle w:val="ListParagraph"/>
        <w:numPr>
          <w:ilvl w:val="0"/>
          <w:numId w:val="2"/>
        </w:numPr>
        <w:spacing w:after="60" w:line="264"/>
      </w:pPr>
      <w:r>
        <w:rPr>
          <w:sz w:val="21"/>
          <w:szCs w:val="21"/>
        </w:rPr>
        <w:t xml:space="preserve">Assuro — open-source AI governance platform — </w:t>
      </w:r>
      <w:hyperlink w:history="1" r:id="rId5mhjrzgzxes1j4qgdhrpg">
        <w:r>
          <w:rPr>
            <w:rStyle w:val="Hyperlink"/>
            <w:sz w:val="21"/>
            <w:szCs w:val="21"/>
          </w:rPr>
          <w:t xml:space="preserve">github.com</w:t>
        </w:r>
      </w:hyperlink>
    </w:p>
    <w:p>
      <w:pPr>
        <w:pStyle w:val="ListParagraph"/>
        <w:numPr>
          <w:ilvl w:val="0"/>
          <w:numId w:val="2"/>
        </w:numPr>
        <w:spacing w:after="60" w:line="264"/>
      </w:pPr>
      <w:r>
        <w:rPr>
          <w:sz w:val="21"/>
          <w:szCs w:val="21"/>
        </w:rPr>
        <w:t xml:space="preserve">ai-governance-framework — </w:t>
      </w:r>
      <w:hyperlink w:history="1" r:id="rIdgvlocg0fivgfqoucph8nn">
        <w:r>
          <w:rPr>
            <w:rStyle w:val="Hyperlink"/>
            <w:sz w:val="21"/>
            <w:szCs w:val="21"/>
          </w:rPr>
          <w:t xml:space="preserve">github.com</w:t>
        </w:r>
      </w:hyperlink>
    </w:p>
    <w:p>
      <w:pPr>
        <w:pStyle w:val="ListParagraph"/>
        <w:numPr>
          <w:ilvl w:val="0"/>
          <w:numId w:val="2"/>
        </w:numPr>
        <w:spacing w:after="60" w:line="264"/>
      </w:pPr>
      <w:r>
        <w:rPr>
          <w:sz w:val="21"/>
          <w:szCs w:val="21"/>
        </w:rPr>
        <w:t xml:space="preserve">checkpoint-ai — NIST/EU/ISO self-assessment — </w:t>
      </w:r>
      <w:hyperlink w:history="1" r:id="rIda4x4wuccoqs7d0dixrhfg">
        <w:r>
          <w:rPr>
            <w:rStyle w:val="Hyperlink"/>
            <w:sz w:val="21"/>
            <w:szCs w:val="21"/>
          </w:rPr>
          <w:t xml:space="preserve">github.com</w:t>
        </w:r>
      </w:hyperlink>
    </w:p>
    <w:p>
      <w:pPr>
        <w:pStyle w:val="ListParagraph"/>
        <w:numPr>
          <w:ilvl w:val="0"/>
          <w:numId w:val="2"/>
        </w:numPr>
        <w:spacing w:after="60" w:line="264"/>
      </w:pPr>
      <w:r>
        <w:rPr>
          <w:sz w:val="21"/>
          <w:szCs w:val="21"/>
        </w:rPr>
        <w:t xml:space="preserve">OPA NIST AI RMF bundle — </w:t>
      </w:r>
      <w:hyperlink w:history="1" r:id="rIduokj6o-fnwjrlixctb7yf">
        <w:r>
          <w:rPr>
            <w:rStyle w:val="Hyperlink"/>
            <w:sz w:val="21"/>
            <w:szCs w:val="21"/>
          </w:rPr>
          <w:t xml:space="preserve">github.com</w:t>
        </w:r>
      </w:hyperlink>
    </w:p>
    <w:p>
      <w:pPr>
        <w:pStyle w:val="ListParagraph"/>
        <w:numPr>
          <w:ilvl w:val="0"/>
          <w:numId w:val="2"/>
        </w:numPr>
        <w:spacing w:after="60" w:line="264"/>
      </w:pPr>
      <w:r>
        <w:rPr>
          <w:sz w:val="21"/>
          <w:szCs w:val="21"/>
        </w:rPr>
        <w:t xml:space="preserve">WandB RAI Toolkit — </w:t>
      </w:r>
      <w:hyperlink w:history="1" r:id="rIdoytxmskguuice0ut6mh_a">
        <w:r>
          <w:rPr>
            <w:rStyle w:val="Hyperlink"/>
            <w:sz w:val="21"/>
            <w:szCs w:val="21"/>
          </w:rPr>
          <w:t xml:space="preserve">github.com</w:t>
        </w:r>
      </w:hyperlink>
    </w:p>
    <w:p>
      <w:pPr>
        <w:pStyle w:val="ListParagraph"/>
        <w:numPr>
          <w:ilvl w:val="0"/>
          <w:numId w:val="2"/>
        </w:numPr>
        <w:spacing w:after="60" w:line="264"/>
      </w:pPr>
      <w:r>
        <w:rPr>
          <w:sz w:val="21"/>
          <w:szCs w:val="21"/>
        </w:rPr>
        <w:t xml:space="preserve">OpenGuardrails — AI security gateway — </w:t>
      </w:r>
      <w:hyperlink w:history="1" r:id="rId9gamu9pyzvfllpzquo6so">
        <w:r>
          <w:rPr>
            <w:rStyle w:val="Hyperlink"/>
            <w:sz w:val="21"/>
            <w:szCs w:val="21"/>
          </w:rPr>
          <w:t xml:space="preserve">github.com</w:t>
        </w:r>
      </w:hyperlink>
    </w:p>
    <w:p>
      <w:pPr>
        <w:pStyle w:val="ListParagraph"/>
        <w:numPr>
          <w:ilvl w:val="0"/>
          <w:numId w:val="2"/>
        </w:numPr>
        <w:spacing w:after="60" w:line="264"/>
      </w:pPr>
      <w:r>
        <w:rPr>
          <w:sz w:val="21"/>
          <w:szCs w:val="21"/>
        </w:rPr>
        <w:t xml:space="preserve">PolicyAware — LLM control plane — </w:t>
      </w:r>
      <w:hyperlink w:history="1" r:id="rIdhnrebmjz1ogwraqyeyyqe">
        <w:r>
          <w:rPr>
            <w:rStyle w:val="Hyperlink"/>
            <w:sz w:val="21"/>
            <w:szCs w:val="21"/>
          </w:rPr>
          <w:t xml:space="preserve">github.com</w:t>
        </w:r>
      </w:hyperlink>
    </w:p>
    <w:p>
      <w:pPr>
        <w:pStyle w:val="ListParagraph"/>
        <w:numPr>
          <w:ilvl w:val="0"/>
          <w:numId w:val="2"/>
        </w:numPr>
        <w:spacing w:after="60" w:line="264"/>
      </w:pPr>
      <w:r>
        <w:rPr>
          <w:sz w:val="21"/>
          <w:szCs w:val="21"/>
        </w:rPr>
        <w:t xml:space="preserve">ToTra — AI gateway with PII and compliance — </w:t>
      </w:r>
      <w:hyperlink w:history="1" r:id="rIdq8c1swedvvibnq--p2cgj">
        <w:r>
          <w:rPr>
            <w:rStyle w:val="Hyperlink"/>
            <w:sz w:val="21"/>
            <w:szCs w:val="21"/>
          </w:rPr>
          <w:t xml:space="preserve">github.com</w:t>
        </w:r>
      </w:hyperlink>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Internal — draft for review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AI Governance — Open-Source Frameworks Research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32" w:hanging="216"/>
      </w:pPr>
      <w:rPr>
        <w:b/>
        <w:bCs/>
        <w:color w:val="2563E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8" w:space="4"/>
      </w:pBdr>
      <w:spacing w:after="16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563EB"/>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c-vziqaai3-jjaoa3-8ko" Type="http://schemas.openxmlformats.org/officeDocument/2006/relationships/hyperlink" Target="https://doi.org/10.6028/NIST.AI.100-1" TargetMode="External"/><Relationship Id="rIdn5ox_fnmcf-3hyvdkawzk" Type="http://schemas.openxmlformats.org/officeDocument/2006/relationships/hyperlink" Target="https://airc.nist.gov/airmf-resources/" TargetMode="External"/><Relationship Id="rId5e4rctgdodum3rwdmxite" Type="http://schemas.openxmlformats.org/officeDocument/2006/relationships/hyperlink" Target="https://eur-lex.europa.eu/eli/reg/2024/1689" TargetMode="External"/><Relationship Id="rIdrevn4qatsio3qt6rqmuoz" Type="http://schemas.openxmlformats.org/officeDocument/2006/relationships/hyperlink" Target="https://www.iso.org/standard/81230.html" TargetMode="External"/><Relationship Id="rIdlpa74dfqj89gmyvihz6wj" Type="http://schemas.openxmlformats.org/officeDocument/2006/relationships/hyperlink" Target="https://github.com/NVIDIA-NeMo/Guardrails" TargetMode="External"/><Relationship Id="rIdznweevocad0zidgi7h7tv" Type="http://schemas.openxmlformats.org/officeDocument/2006/relationships/hyperlink" Target="https://aif360.res.ibm.com/" TargetMode="External"/><Relationship Id="rId5ikd41kndwt4d347i34kp" Type="http://schemas.openxmlformats.org/officeDocument/2006/relationships/hyperlink" Target="https://fairlearn.org/" TargetMode="External"/><Relationship Id="rIdbvfvp5w2erhbsq7htonm_" Type="http://schemas.openxmlformats.org/officeDocument/2006/relationships/hyperlink" Target="https://aix360.res.ibm.com/" TargetMode="External"/><Relationship Id="rId5mhjrzgzxes1j4qgdhrpg" Type="http://schemas.openxmlformats.org/officeDocument/2006/relationships/hyperlink" Target="https://github.com/YASSERRMD/Assuro" TargetMode="External"/><Relationship Id="rIdgvlocg0fivgfqoucph8nn" Type="http://schemas.openxmlformats.org/officeDocument/2006/relationships/hyperlink" Target="https://github.com/faridukhan/ai-governance-framework" TargetMode="External"/><Relationship Id="rIda4x4wuccoqs7d0dixrhfg" Type="http://schemas.openxmlformats.org/officeDocument/2006/relationships/hyperlink" Target="https://github.com/cognis-digital/checkpoint-ai" TargetMode="External"/><Relationship Id="rIduokj6o-fnwjrlixctb7yf" Type="http://schemas.openxmlformats.org/officeDocument/2006/relationships/hyperlink" Target="https://github.com/uchit/opa-nist-ai-rmf" TargetMode="External"/><Relationship Id="rIdoytxmskguuice0ut6mh_a" Type="http://schemas.openxmlformats.org/officeDocument/2006/relationships/hyperlink" Target="https://github.com/wandb/rai-toolkit" TargetMode="External"/><Relationship Id="rId9gamu9pyzvfllpzquo6so" Type="http://schemas.openxmlformats.org/officeDocument/2006/relationships/hyperlink" Target="https://github.com/openguardrails/agent-gateway" TargetMode="External"/><Relationship Id="rIdhnrebmjz1ogwraqyeyyqe" Type="http://schemas.openxmlformats.org/officeDocument/2006/relationships/hyperlink" Target="https://github.com/ktirupati/policyaware" TargetMode="External"/><Relationship Id="rIdq8c1swedvvibnq--p2cgj" Type="http://schemas.openxmlformats.org/officeDocument/2006/relationships/hyperlink" Target="https://github.com/SugaC-275/ToTra" TargetMode="External"/><Relationship Id="rId11" Type="http://schemas.openxmlformats.org/officeDocument/2006/relationships/image" Target="media/2dad6034eff5ae3301093c23bf855eb8e3f0bcd4.png"/><Relationship Id="rId12" Type="http://schemas.openxmlformats.org/officeDocument/2006/relationships/image" Target="media/b67b98bc29bc47636fcab6cb9a5e946deb8541ba.png"/><Relationship Id="rId13" Type="http://schemas.openxmlformats.org/officeDocument/2006/relationships/image" Target="media/1401c7e053d284f0d8296de9bf5a623d515da153.png"/><Relationship Id="rId14" Type="http://schemas.openxmlformats.org/officeDocument/2006/relationships/image" Target="media/e84cfe56011da6b38b8774773c33429626bbca90.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2026-07-17T12:43:11.754Z</dcterms:created>
  <dcterms:modified xsi:type="dcterms:W3CDTF">2026-07-17T12:43:11.755Z</dcterms:modified>
</cp:coreProperties>
</file>

<file path=docProps/custom.xml><?xml version="1.0" encoding="utf-8"?>
<Properties xmlns="http://schemas.openxmlformats.org/officeDocument/2006/custom-properties" xmlns:vt="http://schemas.openxmlformats.org/officeDocument/2006/docPropsVTypes"/>
</file>