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51.png" ContentType="image/png"/>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RAG Chatbot AI Governance Evaluation - Backend Flow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Standard-Driven Evaluation Architecture</w:t>
      </w:r>
      <w:r>
        <w:t xml:space="preserve"> </w:t>
      </w:r>
      <w:r>
        <w:t xml:space="preserve">Prepared by: AI Governance Assessment Engine Design Team</w:t>
      </w:r>
      <w:r>
        <w:t xml:space="preserve"> </w:t>
      </w:r>
      <w:r>
        <w:t xml:space="preserve">Date: July 2026</w:t>
      </w:r>
    </w:p>
    <w:p>
      <w:r>
        <w:pict>
          <v:rect style="width:0;height:1.5pt" o:hralign="center" o:hrstd="t" o:hr="t"/>
        </w:pict>
      </w:r>
    </w:p>
    <w:bookmarkStart w:id="11" w:name="architecture-overview"/>
    <w:p>
      <w:pPr>
        <w:pStyle w:val="Heading1"/>
      </w:pPr>
      <w:r>
        <w:t xml:space="preserve">1. Architecture Overview</w:t>
      </w:r>
    </w:p>
    <w:bookmarkStart w:id="9" w:name="X6847e2a4da1eac24bd44b79d98a63c7ee01f828"/>
    <w:p>
      <w:pPr>
        <w:pStyle w:val="Heading2"/>
      </w:pPr>
      <w:r>
        <w:t xml:space="preserve">Core Principle: Evaluation Follows Selection</w:t>
      </w:r>
    </w:p>
    <w:p>
      <w:pPr>
        <w:pStyle w:val="FirstParagraph"/>
      </w:pPr>
      <w:r>
        <w:t xml:space="preserve">The system does not run a fixed checklist against every client. Instead, the user tells the system</w:t>
      </w:r>
      <w:r>
        <w:t xml:space="preserve"> </w:t>
      </w:r>
      <w:r>
        <w:rPr>
          <w:b/>
          <w:bCs/>
        </w:rPr>
        <w:t xml:space="preserve">which industry they operate in</w:t>
      </w:r>
      <w:r>
        <w:t xml:space="preserve"> </w:t>
      </w:r>
      <w:r>
        <w:t xml:space="preserve">and</w:t>
      </w:r>
      <w:r>
        <w:t xml:space="preserve"> </w:t>
      </w:r>
      <w:r>
        <w:rPr>
          <w:b/>
          <w:bCs/>
        </w:rPr>
        <w:t xml:space="preserve">which compliance standards matter to them</w:t>
      </w:r>
      <w:r>
        <w:t xml:space="preserve">, and the backend evaluates the chatbot</w:t>
      </w:r>
      <w:r>
        <w:t xml:space="preserve"> </w:t>
      </w:r>
      <w:r>
        <w:rPr>
          <w:b/>
          <w:bCs/>
        </w:rPr>
        <w:t xml:space="preserve">only against those standards</w:t>
      </w:r>
      <w:r>
        <w:t xml:space="preserve"> </w:t>
      </w:r>
      <w:r>
        <w:t xml:space="preserve">- nothing more, nothing less.</w:t>
      </w:r>
    </w:p>
    <w:p>
      <w:pPr>
        <w:pStyle w:val="BodyText"/>
      </w:pPr>
      <w:r>
        <w:t xml:space="preserve">This is the defining characteristic of the platform:</w:t>
      </w:r>
      <w:r>
        <w:t xml:space="preserve"> </w:t>
      </w:r>
      <w:r>
        <w:rPr>
          <w:b/>
          <w:bCs/>
        </w:rPr>
        <w:t xml:space="preserve">dynamic, standard-driven evaluation.</w:t>
      </w:r>
    </w:p>
    <w:p>
      <w:pPr>
        <w:pStyle w:val="SourceCode"/>
      </w:pPr>
      <w:r>
        <w:rPr>
          <w:rStyle w:val="VerbatimChar"/>
        </w:rPr>
        <w:t xml:space="preserve">INDUSTRY SELECTED --&gt; STANDARDS RECOMMENDED --&gt; USER PICKS 1-3 --&gt; EVALUATE ONLY THOSE --&gt; ONE REPORT PER STANDARD</w:t>
      </w:r>
    </w:p>
    <w:bookmarkEnd w:id="9"/>
    <w:bookmarkStart w:id="10" w:name="why-this-works"/>
    <w:p>
      <w:pPr>
        <w:pStyle w:val="Heading2"/>
      </w:pPr>
      <w:r>
        <w:t xml:space="preserve">Why This Works</w:t>
      </w:r>
    </w:p>
    <w:p>
      <w:pPr>
        <w:pStyle w:val="FirstParagraph"/>
      </w:pPr>
      <w:r>
        <w:t xml:space="preserve">Each compliance standard already contains its own governance, security, and risk requirements internally - there’s no need to run separate, generic engines for those concepts. The evaluation engine simply loads the control pack for whichever standard was selected and tests every control inside it:</w:t>
      </w:r>
    </w:p>
    <w:p>
      <w:pPr>
        <w:pStyle w:val="Compact"/>
        <w:numPr>
          <w:ilvl w:val="0"/>
          <w:numId w:val="1001"/>
        </w:numPr>
      </w:pPr>
      <w:r>
        <w:rPr>
          <w:b/>
          <w:bCs/>
        </w:rPr>
        <w:t xml:space="preserve">ISO 42001</w:t>
      </w:r>
      <w:r>
        <w:t xml:space="preserve"> </w:t>
      </w:r>
      <w:r>
        <w:t xml:space="preserve">covers AI policy, data security, and bias testing within its 38 Annex A controls</w:t>
      </w:r>
    </w:p>
    <w:p>
      <w:pPr>
        <w:pStyle w:val="Compact"/>
        <w:numPr>
          <w:ilvl w:val="0"/>
          <w:numId w:val="1001"/>
        </w:numPr>
      </w:pPr>
      <w:r>
        <w:rPr>
          <w:b/>
          <w:bCs/>
        </w:rPr>
        <w:t xml:space="preserve">HIPAA</w:t>
      </w:r>
      <w:r>
        <w:t xml:space="preserve"> </w:t>
      </w:r>
      <w:r>
        <w:t xml:space="preserve">covers admin safeguards, technical safeguards, and physical safeguards within its own structure</w:t>
      </w:r>
    </w:p>
    <w:p>
      <w:pPr>
        <w:pStyle w:val="Compact"/>
        <w:numPr>
          <w:ilvl w:val="0"/>
          <w:numId w:val="1001"/>
        </w:numPr>
      </w:pPr>
      <w:r>
        <w:rPr>
          <w:b/>
          <w:bCs/>
        </w:rPr>
        <w:t xml:space="preserve">NYC LL144</w:t>
      </w:r>
      <w:r>
        <w:t xml:space="preserve"> </w:t>
      </w:r>
      <w:r>
        <w:t xml:space="preserve">covers auditor requirements, bias testing, and transparency disclosures</w:t>
      </w:r>
    </w:p>
    <w:p>
      <w:pPr>
        <w:pStyle w:val="FirstParagraph"/>
      </w:pPr>
      <w:r>
        <w:t xml:space="preserve">Underneath these standard-specific structures, every individual control is also tagged to one of</w:t>
      </w:r>
      <w:r>
        <w:t xml:space="preserve"> </w:t>
      </w:r>
      <w:r>
        <w:rPr>
          <w:b/>
          <w:bCs/>
        </w:rPr>
        <w:t xml:space="preserve">5 common governance pillars</w:t>
      </w:r>
      <w:r>
        <w:t xml:space="preserve"> </w:t>
      </w:r>
      <w:r>
        <w:t xml:space="preserve">(Trust, Security, Governance, Compliance, Data Protection) so that results stay comparable across industries and standards, and so the system can automatically detect when fixing one gap satisfies requirements in multiple standards at once. See Section 6.</w:t>
      </w:r>
    </w:p>
    <w:p>
      <w:r>
        <w:pict>
          <v:rect style="width:0;height:1.5pt" o:hralign="center" o:hrstd="t" o:hr="t"/>
        </w:pict>
      </w:r>
    </w:p>
    <w:bookmarkEnd w:id="10"/>
    <w:bookmarkEnd w:id="11"/>
    <w:bookmarkStart w:id="16" w:name="complete-pipeline-flow"/>
    <w:p>
      <w:pPr>
        <w:pStyle w:val="Heading1"/>
      </w:pPr>
      <w:r>
        <w:t xml:space="preserve">2. Complete Pipeline Flow</w:t>
      </w:r>
    </w:p>
    <w:p>
      <w:pPr>
        <w:pStyle w:val="CaptionedFigure"/>
      </w:pPr>
      <w:r>
        <w:drawing>
          <wp:inline>
            <wp:extent cx="5943600" cy="4061460"/>
            <wp:effectExtent b="0" l="0" r="0" t="0"/>
            <wp:docPr descr="Backend Pipeline Flow" title="" id="13" name="Picture"/>
            <a:graphic>
              <a:graphicData uri="http://schemas.openxmlformats.org/drawingml/2006/picture">
                <pic:pic>
                  <pic:nvPicPr>
                    <pic:cNvPr descr="diagrams/png/backend_flow_detail.png" id="14" name="Picture"/>
                    <pic:cNvPicPr>
                      <a:picLocks noChangeArrowheads="1" noChangeAspect="1"/>
                    </pic:cNvPicPr>
                  </pic:nvPicPr>
                  <pic:blipFill>
                    <a:blip r:embed="rId12"/>
                    <a:stretch>
                      <a:fillRect/>
                    </a:stretch>
                  </pic:blipFill>
                  <pic:spPr bwMode="auto">
                    <a:xfrm>
                      <a:off x="0" y="0"/>
                      <a:ext cx="5943600" cy="4061460"/>
                    </a:xfrm>
                    <a:prstGeom prst="rect">
                      <a:avLst/>
                    </a:prstGeom>
                    <a:noFill/>
                    <a:ln w="9525">
                      <a:noFill/>
                      <a:headEnd/>
                      <a:tailEnd/>
                    </a:ln>
                  </pic:spPr>
                </pic:pic>
              </a:graphicData>
            </a:graphic>
          </wp:inline>
        </w:drawing>
      </w:r>
    </w:p>
    <w:p>
      <w:pPr>
        <w:pStyle w:val="ImageCaption"/>
      </w:pPr>
      <w:r>
        <w:t xml:space="preserve">Backend Pipeline Flow</w:t>
      </w:r>
    </w:p>
    <w:bookmarkStart w:id="15" w:name="pipeline-steps"/>
    <w:p>
      <w:pPr>
        <w:pStyle w:val="Heading2"/>
      </w:pPr>
      <w:r>
        <w:t xml:space="preserve">Pipeline Steps</w:t>
      </w:r>
    </w:p>
    <w:p>
      <w:pPr>
        <w:pStyle w:val="FirstParagraph"/>
      </w:pPr>
      <w:r>
        <w:rPr>
          <w:b/>
          <w:bCs/>
        </w:rPr>
        <w:t xml:space="preserve">Step 1: Selection Screen (what the user sees)</w:t>
      </w:r>
      <w:r>
        <w:t xml:space="preserve"> </w:t>
      </w:r>
      <w:r>
        <w:t xml:space="preserve">- Select industry from a dropdown (10 industries supported)</w:t>
      </w:r>
      <w:r>
        <w:t xml:space="preserve"> </w:t>
      </w:r>
      <w:r>
        <w:t xml:space="preserve">- The system immediately recommends the 2-3 most relevant standards for that industry, pre-checked</w:t>
      </w:r>
      <w:r>
        <w:t xml:space="preserve"> </w:t>
      </w:r>
      <w:r>
        <w:t xml:space="preserve">- User can accept the recommendation or adjust (pick 1-3 standards total)</w:t>
      </w:r>
      <w:r>
        <w:t xml:space="preserve"> </w:t>
      </w:r>
      <w:r>
        <w:t xml:space="preserve">- Select access tier (Tier 1/2/3) and provide the matching credentials</w:t>
      </w:r>
    </w:p>
    <w:p>
      <w:pPr>
        <w:pStyle w:val="BodyText"/>
      </w:pPr>
      <w:r>
        <w:rPr>
          <w:b/>
          <w:bCs/>
        </w:rPr>
        <w:t xml:space="preserve">Step 2: Validate + Load</w:t>
      </w:r>
      <w:r>
        <w:t xml:space="preserve"> </w:t>
      </w:r>
      <w:r>
        <w:t xml:space="preserve">- Validate the chatbot endpoint and credentials</w:t>
      </w:r>
      <w:r>
        <w:t xml:space="preserve"> </w:t>
      </w:r>
      <w:r>
        <w:t xml:space="preserve">- Confirm the target is actually a RAG system (not a plain LLM wrapper)</w:t>
      </w:r>
      <w:r>
        <w:t xml:space="preserve"> </w:t>
      </w:r>
      <w:r>
        <w:t xml:space="preserve">- Discover architecture (model, vector DB, embedding model)</w:t>
      </w:r>
      <w:r>
        <w:t xml:space="preserve"> </w:t>
      </w:r>
      <w:r>
        <w:t xml:space="preserve">- Load the control pack</w:t>
      </w:r>
      <w:r>
        <w:t xml:space="preserve"> </w:t>
      </w:r>
      <w:r>
        <w:rPr>
          <w:b/>
          <w:bCs/>
        </w:rPr>
        <w:t xml:space="preserve">only for the standards selected in Step 1</w:t>
      </w:r>
      <w:r>
        <w:t xml:space="preserve"> </w:t>
      </w:r>
      <w:r>
        <w:t xml:space="preserve">- nothing else is loaded</w:t>
      </w:r>
    </w:p>
    <w:p>
      <w:pPr>
        <w:pStyle w:val="BodyText"/>
      </w:pPr>
      <w:r>
        <w:rPr>
          <w:b/>
          <w:bCs/>
        </w:rPr>
        <w:t xml:space="preserve">Step 3: Evaluate (one engine per picked standard)</w:t>
      </w:r>
      <w:r>
        <w:t xml:space="preserve"> </w:t>
      </w:r>
      <w:r>
        <w:t xml:space="preserve">- Each selected standard spins up its own evaluation engine, running in parallel</w:t>
      </w:r>
      <w:r>
        <w:t xml:space="preserve"> </w:t>
      </w:r>
      <w:r>
        <w:t xml:space="preserve">- Controls are filtered by tier so only testable controls run</w:t>
      </w:r>
      <w:r>
        <w:t xml:space="preserve"> </w:t>
      </w:r>
      <w:r>
        <w:t xml:space="preserve">- Every control carries a pillar tag (Trust / Security / Governance / Compliance / Data Protection)</w:t>
      </w:r>
      <w:r>
        <w:t xml:space="preserve"> </w:t>
      </w:r>
      <w:r>
        <w:t xml:space="preserve">- OWASP LLM Top 10 security probes run alongside every assessment regardless of which standards were picked, since no paper standard replaces real adversarial testing</w:t>
      </w:r>
    </w:p>
    <w:p>
      <w:pPr>
        <w:pStyle w:val="BodyText"/>
      </w:pPr>
      <w:r>
        <w:rPr>
          <w:b/>
          <w:bCs/>
        </w:rPr>
        <w:t xml:space="preserve">Step 4: Reports (exactly matches Step 1)</w:t>
      </w:r>
      <w:r>
        <w:t xml:space="preserve"> </w:t>
      </w:r>
      <w:r>
        <w:t xml:space="preserve">- One report generated per selected standard, in that standard’s native format</w:t>
      </w:r>
      <w:r>
        <w:t xml:space="preserve"> </w:t>
      </w:r>
      <w:r>
        <w:t xml:space="preserve">- A Cross-Standard Insights report is added automatically when 2+ standards are selected</w:t>
      </w:r>
      <w:r>
        <w:t xml:space="preserve"> </w:t>
      </w:r>
      <w:r>
        <w:t xml:space="preserve">- A 5-Pillar Radar Summary rolls everything up for an at-a-glance comparable view</w:t>
      </w:r>
      <w:r>
        <w:t xml:space="preserve"> </w:t>
      </w:r>
      <w:r>
        <w:t xml:space="preserve">- If the user picked 3 standards, 3 reports are generated - no unused frameworks, no missing ones, nothing evaluated that wasn’t selected</w:t>
      </w:r>
    </w:p>
    <w:p>
      <w:r>
        <w:pict>
          <v:rect style="width:0;height:1.5pt" o:hralign="center" o:hrstd="t" o:hr="t"/>
        </w:pict>
      </w:r>
    </w:p>
    <w:bookmarkEnd w:id="15"/>
    <w:bookmarkEnd w:id="16"/>
    <w:bookmarkStart w:id="19" w:name="X66d37b559929a06477e04f2860abd3e3f2c10d8"/>
    <w:p>
      <w:pPr>
        <w:pStyle w:val="Heading1"/>
      </w:pPr>
      <w:r>
        <w:t xml:space="preserve">3. Dynamic Standard Selection - The Core Differentiator</w:t>
      </w:r>
    </w:p>
    <w:p>
      <w:pPr>
        <w:pStyle w:val="FirstParagraph"/>
      </w:pPr>
      <w:r>
        <w:t xml:space="preserve">Selecting the right standards is the single most important decision a user makes, and the platform is built around making that decision easy and defensible.</w:t>
      </w:r>
    </w:p>
    <w:bookmarkStart w:id="17" w:name="how-it-works"/>
    <w:p>
      <w:pPr>
        <w:pStyle w:val="Heading2"/>
      </w:pPr>
      <w:r>
        <w:t xml:space="preserve">How It Works</w:t>
      </w:r>
    </w:p>
    <w:p>
      <w:pPr>
        <w:pStyle w:val="Compact"/>
        <w:numPr>
          <w:ilvl w:val="0"/>
          <w:numId w:val="1002"/>
        </w:numPr>
      </w:pPr>
      <w:r>
        <w:rPr>
          <w:b/>
          <w:bCs/>
        </w:rPr>
        <w:t xml:space="preserve">User selects industry</w:t>
      </w:r>
      <w:r>
        <w:t xml:space="preserve"> </w:t>
      </w:r>
      <w:r>
        <w:t xml:space="preserve">(e.g. Healthcare, Finance, HR/Recruitment, Education, Autonomous Vehicles, etc.)</w:t>
      </w:r>
    </w:p>
    <w:p>
      <w:pPr>
        <w:pStyle w:val="Compact"/>
        <w:numPr>
          <w:ilvl w:val="0"/>
          <w:numId w:val="1002"/>
        </w:numPr>
      </w:pPr>
      <w:r>
        <w:rPr>
          <w:b/>
          <w:bCs/>
        </w:rPr>
        <w:t xml:space="preserve">System looks up the industry-to-standard mapping</w:t>
      </w:r>
      <w:r>
        <w:t xml:space="preserve"> </w:t>
      </w:r>
      <w:r>
        <w:t xml:space="preserve">(see Section 4) and pre-selects the 2-3 most popular, most relevant standards for that industry</w:t>
      </w:r>
    </w:p>
    <w:p>
      <w:pPr>
        <w:pStyle w:val="Compact"/>
        <w:numPr>
          <w:ilvl w:val="0"/>
          <w:numId w:val="1002"/>
        </w:numPr>
      </w:pPr>
      <w:r>
        <w:rPr>
          <w:b/>
          <w:bCs/>
        </w:rPr>
        <w:t xml:space="preserve">Each recommended standard shows why it’s recommended</w:t>
      </w:r>
      <w:r>
        <w:t xml:space="preserve"> </w:t>
      </w:r>
      <w:r>
        <w:t xml:space="preserve">- mandatory/legal, certifiable/business-trust, or methodological/best-practice</w:t>
      </w:r>
    </w:p>
    <w:p>
      <w:pPr>
        <w:pStyle w:val="Compact"/>
        <w:numPr>
          <w:ilvl w:val="0"/>
          <w:numId w:val="1002"/>
        </w:numPr>
      </w:pPr>
      <w:r>
        <w:rPr>
          <w:b/>
          <w:bCs/>
        </w:rPr>
        <w:t xml:space="preserve">User can add or remove standards</w:t>
      </w:r>
      <w:r>
        <w:t xml:space="preserve"> </w:t>
      </w:r>
      <w:r>
        <w:t xml:space="preserve">from the list, or search for additional ones</w:t>
      </w:r>
    </w:p>
    <w:p>
      <w:pPr>
        <w:pStyle w:val="Compact"/>
        <w:numPr>
          <w:ilvl w:val="0"/>
          <w:numId w:val="1002"/>
        </w:numPr>
      </w:pPr>
      <w:r>
        <w:rPr>
          <w:b/>
          <w:bCs/>
        </w:rPr>
        <w:t xml:space="preserve">The evaluation engine loads exactly those control packs</w:t>
      </w:r>
      <w:r>
        <w:t xml:space="preserve"> </w:t>
      </w:r>
      <w:r>
        <w:t xml:space="preserve">- no more, no less</w:t>
      </w:r>
    </w:p>
    <w:p>
      <w:pPr>
        <w:pStyle w:val="Compact"/>
        <w:numPr>
          <w:ilvl w:val="0"/>
          <w:numId w:val="1002"/>
        </w:numPr>
      </w:pPr>
      <w:r>
        <w:rPr>
          <w:b/>
          <w:bCs/>
        </w:rPr>
        <w:t xml:space="preserve">Reports come back in the native format of each selected standard</w:t>
      </w:r>
      <w:r>
        <w:t xml:space="preserve">, plus a cross-standard insights view</w:t>
      </w:r>
    </w:p>
    <w:bookmarkEnd w:id="17"/>
    <w:bookmarkStart w:id="18" w:name="why-this-is-the-selling-point"/>
    <w:p>
      <w:pPr>
        <w:pStyle w:val="Heading2"/>
      </w:pPr>
      <w:r>
        <w:t xml:space="preserve">Why This Is the Selling Point</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Benefit</w:t>
            </w:r>
          </w:p>
        </w:tc>
        <w:tc>
          <w:tcPr/>
          <w:p>
            <w:pPr>
              <w:pStyle w:val="Compact"/>
            </w:pPr>
            <w:r>
              <w:t xml:space="preserve">What It Means in Practice</w:t>
            </w:r>
          </w:p>
        </w:tc>
      </w:tr>
      <w:tr>
        <w:tc>
          <w:tcPr/>
          <w:p>
            <w:pPr>
              <w:pStyle w:val="Compact"/>
            </w:pPr>
            <w:r>
              <w:rPr>
                <w:b/>
                <w:bCs/>
              </w:rPr>
              <w:t xml:space="preserve">Relevance over volume</w:t>
            </w:r>
          </w:p>
        </w:tc>
        <w:tc>
          <w:tcPr/>
          <w:p>
            <w:pPr>
              <w:pStyle w:val="Compact"/>
            </w:pPr>
            <w:r>
              <w:t xml:space="preserve">No generic 34-control checklist for every client. A healthcare client is tested against HIPAA, not against manufacturing safety rules that will never apply to them</w:t>
            </w:r>
          </w:p>
        </w:tc>
      </w:tr>
      <w:tr>
        <w:tc>
          <w:tcPr/>
          <w:p>
            <w:pPr>
              <w:pStyle w:val="Compact"/>
            </w:pPr>
            <w:r>
              <w:rPr>
                <w:b/>
                <w:bCs/>
              </w:rPr>
              <w:t xml:space="preserve">Audit-ready output</w:t>
            </w:r>
          </w:p>
        </w:tc>
        <w:tc>
          <w:tcPr/>
          <w:p>
            <w:pPr>
              <w:pStyle w:val="Compact"/>
            </w:pPr>
            <w:r>
              <w:t xml:space="preserve">Each report is generated in the exact structure an auditor or regulator expects - HIPAA safeguards, ISO Annex A, NIST functions - not a generic scorecard</w:t>
            </w:r>
          </w:p>
        </w:tc>
      </w:tr>
      <w:tr>
        <w:tc>
          <w:tcPr/>
          <w:p>
            <w:pPr>
              <w:pStyle w:val="Compact"/>
            </w:pPr>
            <w:r>
              <w:rPr>
                <w:b/>
                <w:bCs/>
              </w:rPr>
              <w:t xml:space="preserve">Extensible without re-engineering</w:t>
            </w:r>
          </w:p>
        </w:tc>
        <w:tc>
          <w:tcPr/>
          <w:p>
            <w:pPr>
              <w:pStyle w:val="Compact"/>
            </w:pPr>
            <w:r>
              <w:t xml:space="preserve">A new regulation passes? Add one YAML control pack and it appears as a selectable standard immediately. The evaluation engine itself never changes</w:t>
            </w:r>
          </w:p>
        </w:tc>
      </w:tr>
      <w:tr>
        <w:tc>
          <w:tcPr/>
          <w:p>
            <w:pPr>
              <w:pStyle w:val="Compact"/>
            </w:pPr>
            <w:r>
              <w:rPr>
                <w:b/>
                <w:bCs/>
              </w:rPr>
              <w:t xml:space="preserve">Combines legal + business needs</w:t>
            </w:r>
          </w:p>
        </w:tc>
        <w:tc>
          <w:tcPr/>
          <w:p>
            <w:pPr>
              <w:pStyle w:val="Compact"/>
            </w:pPr>
            <w:r>
              <w:t xml:space="preserve">Users are guided to pick one mandatory (legal) standard and one certifiable (client-trust) standard, covering both legal risk and business credibility in a single assessment</w:t>
            </w:r>
          </w:p>
        </w:tc>
      </w:tr>
      <w:tr>
        <w:tc>
          <w:tcPr/>
          <w:p>
            <w:pPr>
              <w:pStyle w:val="Compact"/>
            </w:pPr>
            <w:r>
              <w:rPr>
                <w:b/>
                <w:bCs/>
              </w:rPr>
              <w:t xml:space="preserve">Cross-standard efficiency</w:t>
            </w:r>
          </w:p>
        </w:tc>
        <w:tc>
          <w:tcPr/>
          <w:p>
            <w:pPr>
              <w:pStyle w:val="Compact"/>
            </w:pPr>
            <w:r>
              <w:t xml:space="preserve">Because every control is pillar-tagged, the system automatically finds gaps that affect multiple standards at once, so remediation effort isn’t duplicated</w:t>
            </w:r>
          </w:p>
        </w:tc>
      </w:tr>
    </w:tbl>
    <w:p>
      <w:r>
        <w:pict>
          <v:rect style="width:0;height:1.5pt" o:hralign="center" o:hrstd="t" o:hr="t"/>
        </w:pict>
      </w:r>
    </w:p>
    <w:bookmarkEnd w:id="18"/>
    <w:bookmarkEnd w:id="19"/>
    <w:bookmarkStart w:id="22" w:name="industry-based-standard-recommendations"/>
    <w:p>
      <w:pPr>
        <w:pStyle w:val="Heading1"/>
      </w:pPr>
      <w:r>
        <w:t xml:space="preserve">4. Industry-Based Standard Recommendations</w:t>
      </w:r>
    </w:p>
    <w:bookmarkStart w:id="20" w:name="available-industries-and-standards"/>
    <w:p>
      <w:pPr>
        <w:pStyle w:val="Heading2"/>
      </w:pPr>
      <w:r>
        <w:t xml:space="preserve">Available Industries and Standards</w:t>
      </w:r>
    </w:p>
    <w:tbl>
      <w:tblPr>
        <w:tblStyle w:val="Table"/>
        <w:tblW w:type="pct" w:w="5000"/>
        <w:tblLayout w:type="fixed"/>
        <w:tblLook w:firstRow="1" w:lastRow="0" w:firstColumn="0" w:lastColumn="0" w:noHBand="0" w:noVBand="0" w:val="0020"/>
      </w:tblPr>
      <w:tblGrid>
        <w:gridCol w:w="1320"/>
        <w:gridCol w:w="3432"/>
        <w:gridCol w:w="1584"/>
        <w:gridCol w:w="1584"/>
      </w:tblGrid>
      <w:tr>
        <w:trPr>
          <w:tblHeader w:val="on"/>
        </w:trPr>
        <w:tc>
          <w:tcPr/>
          <w:p>
            <w:pPr>
              <w:pStyle w:val="Compact"/>
            </w:pPr>
            <w:r>
              <w:t xml:space="preserve">Industry</w:t>
            </w:r>
          </w:p>
        </w:tc>
        <w:tc>
          <w:tcPr/>
          <w:p>
            <w:pPr>
              <w:pStyle w:val="Compact"/>
            </w:pPr>
            <w:r>
              <w:t xml:space="preserve">Standard 1 (most popular)</w:t>
            </w:r>
          </w:p>
        </w:tc>
        <w:tc>
          <w:tcPr/>
          <w:p>
            <w:pPr>
              <w:pStyle w:val="Compact"/>
            </w:pPr>
            <w:r>
              <w:t xml:space="preserve">Standard 2</w:t>
            </w:r>
          </w:p>
        </w:tc>
        <w:tc>
          <w:tcPr/>
          <w:p>
            <w:pPr>
              <w:pStyle w:val="Compact"/>
            </w:pPr>
            <w:r>
              <w:t xml:space="preserve">Standard 3</w:t>
            </w:r>
          </w:p>
        </w:tc>
      </w:tr>
      <w:tr>
        <w:tc>
          <w:tcPr/>
          <w:p>
            <w:pPr>
              <w:pStyle w:val="Compact"/>
            </w:pPr>
            <w:r>
              <w:rPr>
                <w:b/>
                <w:bCs/>
              </w:rPr>
              <w:t xml:space="preserve">Healthcare</w:t>
            </w:r>
          </w:p>
        </w:tc>
        <w:tc>
          <w:tcPr/>
          <w:p>
            <w:pPr>
              <w:pStyle w:val="Compact"/>
            </w:pPr>
            <w:r>
              <w:t xml:space="preserve">HIPAA (mandatory, US)</w:t>
            </w:r>
          </w:p>
        </w:tc>
        <w:tc>
          <w:tcPr/>
          <w:p>
            <w:pPr>
              <w:pStyle w:val="Compact"/>
            </w:pPr>
            <w:r>
              <w:t xml:space="preserve">ISO 42001 (certifiable)</w:t>
            </w:r>
          </w:p>
        </w:tc>
        <w:tc>
          <w:tcPr/>
          <w:p>
            <w:pPr>
              <w:pStyle w:val="Compact"/>
            </w:pPr>
            <w:r>
              <w:t xml:space="preserve">NIST AI RMF</w:t>
            </w:r>
          </w:p>
        </w:tc>
      </w:tr>
      <w:tr>
        <w:tc>
          <w:tcPr/>
          <w:p>
            <w:pPr>
              <w:pStyle w:val="Compact"/>
            </w:pPr>
            <w:r>
              <w:rPr>
                <w:b/>
                <w:bCs/>
              </w:rPr>
              <w:t xml:space="preserve">Finance/Banking</w:t>
            </w:r>
          </w:p>
        </w:tc>
        <w:tc>
          <w:tcPr/>
          <w:p>
            <w:pPr>
              <w:pStyle w:val="Compact"/>
            </w:pPr>
            <w:r>
              <w:t xml:space="preserve">MAS AI Guidelines / SR 11-7</w:t>
            </w:r>
          </w:p>
        </w:tc>
        <w:tc>
          <w:tcPr/>
          <w:p>
            <w:pPr>
              <w:pStyle w:val="Compact"/>
            </w:pPr>
            <w:r>
              <w:t xml:space="preserve">SOC 2 Type II</w:t>
            </w:r>
          </w:p>
        </w:tc>
        <w:tc>
          <w:tcPr/>
          <w:p>
            <w:pPr>
              <w:pStyle w:val="Compact"/>
            </w:pPr>
            <w:r>
              <w:t xml:space="preserve">ISO 42001</w:t>
            </w:r>
          </w:p>
        </w:tc>
      </w:tr>
      <w:tr>
        <w:tc>
          <w:tcPr/>
          <w:p>
            <w:pPr>
              <w:pStyle w:val="Compact"/>
            </w:pPr>
            <w:r>
              <w:rPr>
                <w:b/>
                <w:bCs/>
              </w:rPr>
              <w:t xml:space="preserve">Insurance</w:t>
            </w:r>
          </w:p>
        </w:tc>
        <w:tc>
          <w:tcPr/>
          <w:p>
            <w:pPr>
              <w:pStyle w:val="Compact"/>
            </w:pPr>
            <w:r>
              <w:t xml:space="preserve">NAIC Model Bulletin</w:t>
            </w:r>
          </w:p>
        </w:tc>
        <w:tc>
          <w:tcPr/>
          <w:p>
            <w:pPr>
              <w:pStyle w:val="Compact"/>
            </w:pPr>
            <w:r>
              <w:t xml:space="preserve">ISO 42001</w:t>
            </w:r>
          </w:p>
        </w:tc>
        <w:tc>
          <w:tcPr/>
          <w:p>
            <w:pPr>
              <w:pStyle w:val="Compact"/>
            </w:pPr>
            <w:r>
              <w:t xml:space="preserve">EU AI Act</w:t>
            </w:r>
          </w:p>
        </w:tc>
      </w:tr>
      <w:tr>
        <w:tc>
          <w:tcPr/>
          <w:p>
            <w:pPr>
              <w:pStyle w:val="Compact"/>
            </w:pPr>
            <w:r>
              <w:rPr>
                <w:b/>
                <w:bCs/>
              </w:rPr>
              <w:t xml:space="preserve">HR/Recruitment</w:t>
            </w:r>
          </w:p>
        </w:tc>
        <w:tc>
          <w:tcPr/>
          <w:p>
            <w:pPr>
              <w:pStyle w:val="Compact"/>
            </w:pPr>
            <w:r>
              <w:t xml:space="preserve">NYC LL144 (mandatory, NYC)</w:t>
            </w:r>
          </w:p>
        </w:tc>
        <w:tc>
          <w:tcPr/>
          <w:p>
            <w:pPr>
              <w:pStyle w:val="Compact"/>
            </w:pPr>
            <w:r>
              <w:t xml:space="preserve">Colorado AI Act</w:t>
            </w:r>
          </w:p>
        </w:tc>
        <w:tc>
          <w:tcPr/>
          <w:p>
            <w:pPr>
              <w:pStyle w:val="Compact"/>
            </w:pPr>
            <w:r>
              <w:t xml:space="preserve">EU AI Act</w:t>
            </w:r>
          </w:p>
        </w:tc>
      </w:tr>
      <w:tr>
        <w:tc>
          <w:tcPr/>
          <w:p>
            <w:pPr>
              <w:pStyle w:val="Compact"/>
            </w:pPr>
            <w:r>
              <w:rPr>
                <w:b/>
                <w:bCs/>
              </w:rPr>
              <w:t xml:space="preserve">Education</w:t>
            </w:r>
          </w:p>
        </w:tc>
        <w:tc>
          <w:tcPr/>
          <w:p>
            <w:pPr>
              <w:pStyle w:val="Compact"/>
            </w:pPr>
            <w:r>
              <w:t xml:space="preserve">FERPA</w:t>
            </w:r>
          </w:p>
        </w:tc>
        <w:tc>
          <w:tcPr/>
          <w:p>
            <w:pPr>
              <w:pStyle w:val="Compact"/>
            </w:pPr>
            <w:r>
              <w:t xml:space="preserve">NIST AI RMF</w:t>
            </w:r>
          </w:p>
        </w:tc>
        <w:tc>
          <w:tcPr/>
          <w:p>
            <w:pPr>
              <w:pStyle w:val="Compact"/>
            </w:pPr>
            <w:r>
              <w:t xml:space="preserve">ISO 42001</w:t>
            </w:r>
          </w:p>
        </w:tc>
      </w:tr>
      <w:tr>
        <w:tc>
          <w:tcPr/>
          <w:p>
            <w:pPr>
              <w:pStyle w:val="Compact"/>
            </w:pPr>
            <w:r>
              <w:rPr>
                <w:b/>
                <w:bCs/>
              </w:rPr>
              <w:t xml:space="preserve">Autonomous Vehicles</w:t>
            </w:r>
          </w:p>
        </w:tc>
        <w:tc>
          <w:tcPr/>
          <w:p>
            <w:pPr>
              <w:pStyle w:val="Compact"/>
            </w:pPr>
            <w:r>
              <w:t xml:space="preserve">UNECE ADS Regulation</w:t>
            </w:r>
          </w:p>
        </w:tc>
        <w:tc>
          <w:tcPr/>
          <w:p>
            <w:pPr>
              <w:pStyle w:val="Compact"/>
            </w:pPr>
            <w:r>
              <w:t xml:space="preserve">ISO 21448 (SOTIF)</w:t>
            </w:r>
          </w:p>
        </w:tc>
        <w:tc>
          <w:tcPr/>
          <w:p>
            <w:pPr>
              <w:pStyle w:val="Compact"/>
            </w:pPr>
            <w:r>
              <w:t xml:space="preserve">UK AV Act 2024</w:t>
            </w:r>
          </w:p>
        </w:tc>
      </w:tr>
      <w:tr>
        <w:tc>
          <w:tcPr/>
          <w:p>
            <w:pPr>
              <w:pStyle w:val="Compact"/>
            </w:pPr>
            <w:r>
              <w:rPr>
                <w:b/>
                <w:bCs/>
              </w:rPr>
              <w:t xml:space="preserve">Legal/Judiciary</w:t>
            </w:r>
          </w:p>
        </w:tc>
        <w:tc>
          <w:tcPr/>
          <w:p>
            <w:pPr>
              <w:pStyle w:val="Compact"/>
            </w:pPr>
            <w:r>
              <w:t xml:space="preserve">CEPEJ Ethical Charter</w:t>
            </w:r>
          </w:p>
        </w:tc>
        <w:tc>
          <w:tcPr/>
          <w:p>
            <w:pPr>
              <w:pStyle w:val="Compact"/>
            </w:pPr>
            <w:r>
              <w:t xml:space="preserve">EU AI Act</w:t>
            </w:r>
          </w:p>
        </w:tc>
        <w:tc>
          <w:tcPr/>
          <w:p>
            <w:pPr>
              <w:pStyle w:val="Compact"/>
            </w:pPr>
            <w:r>
              <w:t xml:space="preserve">Canada AIA</w:t>
            </w:r>
          </w:p>
        </w:tc>
      </w:tr>
      <w:tr>
        <w:tc>
          <w:tcPr/>
          <w:p>
            <w:pPr>
              <w:pStyle w:val="Compact"/>
            </w:pPr>
            <w:r>
              <w:rPr>
                <w:b/>
                <w:bCs/>
              </w:rPr>
              <w:t xml:space="preserve">Manufacturing</w:t>
            </w:r>
          </w:p>
        </w:tc>
        <w:tc>
          <w:tcPr/>
          <w:p>
            <w:pPr>
              <w:pStyle w:val="Compact"/>
            </w:pPr>
            <w:r>
              <w:t xml:space="preserve">EU Machinery Regulation</w:t>
            </w:r>
          </w:p>
        </w:tc>
        <w:tc>
          <w:tcPr/>
          <w:p>
            <w:pPr>
              <w:pStyle w:val="Compact"/>
            </w:pPr>
            <w:r>
              <w:t xml:space="preserve">IEC 62443</w:t>
            </w:r>
          </w:p>
        </w:tc>
        <w:tc>
          <w:tcPr/>
          <w:p>
            <w:pPr>
              <w:pStyle w:val="Compact"/>
            </w:pPr>
            <w:r>
              <w:t xml:space="preserve">ISO 13849</w:t>
            </w:r>
          </w:p>
        </w:tc>
      </w:tr>
      <w:tr>
        <w:tc>
          <w:tcPr/>
          <w:p>
            <w:pPr>
              <w:pStyle w:val="Compact"/>
            </w:pPr>
            <w:r>
              <w:rPr>
                <w:b/>
                <w:bCs/>
              </w:rPr>
              <w:t xml:space="preserve">Media/Content</w:t>
            </w:r>
          </w:p>
        </w:tc>
        <w:tc>
          <w:tcPr/>
          <w:p>
            <w:pPr>
              <w:pStyle w:val="Compact"/>
            </w:pPr>
            <w:r>
              <w:t xml:space="preserve">China Deep Synthesis Regs</w:t>
            </w:r>
          </w:p>
        </w:tc>
        <w:tc>
          <w:tcPr/>
          <w:p>
            <w:pPr>
              <w:pStyle w:val="Compact"/>
            </w:pPr>
            <w:r>
              <w:t xml:space="preserve">C2PA Standard</w:t>
            </w:r>
          </w:p>
        </w:tc>
        <w:tc>
          <w:tcPr/>
          <w:p>
            <w:pPr>
              <w:pStyle w:val="Compact"/>
            </w:pPr>
            <w:r>
              <w:t xml:space="preserve">EU AI Act</w:t>
            </w:r>
          </w:p>
        </w:tc>
      </w:tr>
      <w:tr>
        <w:tc>
          <w:tcPr/>
          <w:p>
            <w:pPr>
              <w:pStyle w:val="Compact"/>
            </w:pPr>
            <w:r>
              <w:rPr>
                <w:b/>
                <w:bCs/>
              </w:rPr>
              <w:t xml:space="preserve">Government/Public Sector</w:t>
            </w:r>
          </w:p>
        </w:tc>
        <w:tc>
          <w:tcPr/>
          <w:p>
            <w:pPr>
              <w:pStyle w:val="Compact"/>
            </w:pPr>
            <w:r>
              <w:t xml:space="preserve">US OMB M-24-10</w:t>
            </w:r>
          </w:p>
        </w:tc>
        <w:tc>
          <w:tcPr/>
          <w:p>
            <w:pPr>
              <w:pStyle w:val="Compact"/>
            </w:pPr>
            <w:r>
              <w:t xml:space="preserve">Canada AIA</w:t>
            </w:r>
          </w:p>
        </w:tc>
        <w:tc>
          <w:tcPr/>
          <w:p>
            <w:pPr>
              <w:pStyle w:val="Compact"/>
            </w:pPr>
            <w:r>
              <w:t xml:space="preserve">Netherlands IAMA</w:t>
            </w:r>
          </w:p>
        </w:tc>
      </w:tr>
    </w:tbl>
    <w:bookmarkEnd w:id="20"/>
    <w:bookmarkStart w:id="21" w:name="why-multiple-standards-per-industry"/>
    <w:p>
      <w:pPr>
        <w:pStyle w:val="Heading2"/>
      </w:pPr>
      <w:r>
        <w:t xml:space="preserve">Why Multiple Standards Per Industry?</w:t>
      </w:r>
    </w:p>
    <w:p>
      <w:pPr>
        <w:pStyle w:val="FirstParagraph"/>
      </w:pPr>
      <w:r>
        <w:t xml:space="preserve">No single standard covers everything an organization needs:</w:t>
      </w:r>
    </w:p>
    <w:tbl>
      <w:tblPr>
        <w:tblStyle w:val="Table"/>
        <w:tblW w:type="pct" w:w="5000"/>
        <w:tblLayout w:type="fixed"/>
        <w:tblLook w:firstRow="1" w:lastRow="0" w:firstColumn="0" w:lastColumn="0" w:noHBand="0" w:noVBand="0" w:val="0020"/>
      </w:tblPr>
      <w:tblGrid>
        <w:gridCol w:w="2996"/>
        <w:gridCol w:w="2996"/>
        <w:gridCol w:w="1926"/>
      </w:tblGrid>
      <w:tr>
        <w:trPr>
          <w:tblHeader w:val="on"/>
        </w:trPr>
        <w:tc>
          <w:tcPr/>
          <w:p>
            <w:pPr>
              <w:pStyle w:val="Compact"/>
            </w:pPr>
            <w:r>
              <w:t xml:space="preserve">Standard Type</w:t>
            </w:r>
          </w:p>
        </w:tc>
        <w:tc>
          <w:tcPr/>
          <w:p>
            <w:pPr>
              <w:pStyle w:val="Compact"/>
            </w:pPr>
            <w:r>
              <w:t xml:space="preserve">What It Does</w:t>
            </w:r>
          </w:p>
        </w:tc>
        <w:tc>
          <w:tcPr/>
          <w:p>
            <w:pPr>
              <w:pStyle w:val="Compact"/>
            </w:pPr>
            <w:r>
              <w:t xml:space="preserve">Example</w:t>
            </w:r>
          </w:p>
        </w:tc>
      </w:tr>
      <w:tr>
        <w:tc>
          <w:tcPr/>
          <w:p>
            <w:pPr>
              <w:pStyle w:val="Compact"/>
            </w:pPr>
            <w:r>
              <w:rPr>
                <w:b/>
                <w:bCs/>
              </w:rPr>
              <w:t xml:space="preserve">Mandatory/Regulatory</w:t>
            </w:r>
          </w:p>
        </w:tc>
        <w:tc>
          <w:tcPr/>
          <w:p>
            <w:pPr>
              <w:pStyle w:val="Compact"/>
            </w:pPr>
            <w:r>
              <w:t xml:space="preserve">Legal requirement - must comply</w:t>
            </w:r>
          </w:p>
        </w:tc>
        <w:tc>
          <w:tcPr/>
          <w:p>
            <w:pPr>
              <w:pStyle w:val="Compact"/>
            </w:pPr>
            <w:r>
              <w:t xml:space="preserve">HIPAA, NYC LL144, EU AI Act</w:t>
            </w:r>
          </w:p>
        </w:tc>
      </w:tr>
      <w:tr>
        <w:tc>
          <w:tcPr/>
          <w:p>
            <w:pPr>
              <w:pStyle w:val="Compact"/>
            </w:pPr>
            <w:r>
              <w:rPr>
                <w:b/>
                <w:bCs/>
              </w:rPr>
              <w:t xml:space="preserve">Certifiable</w:t>
            </w:r>
          </w:p>
        </w:tc>
        <w:tc>
          <w:tcPr/>
          <w:p>
            <w:pPr>
              <w:pStyle w:val="Compact"/>
            </w:pPr>
            <w:r>
              <w:t xml:space="preserve">Get a certificate to show clients</w:t>
            </w:r>
          </w:p>
        </w:tc>
        <w:tc>
          <w:tcPr/>
          <w:p>
            <w:pPr>
              <w:pStyle w:val="Compact"/>
            </w:pPr>
            <w:r>
              <w:t xml:space="preserve">ISO 42001, SOC 2</w:t>
            </w:r>
          </w:p>
        </w:tc>
      </w:tr>
      <w:tr>
        <w:tc>
          <w:tcPr/>
          <w:p>
            <w:pPr>
              <w:pStyle w:val="Compact"/>
            </w:pPr>
            <w:r>
              <w:rPr>
                <w:b/>
                <w:bCs/>
              </w:rPr>
              <w:t xml:space="preserve">Methodological</w:t>
            </w:r>
          </w:p>
        </w:tc>
        <w:tc>
          <w:tcPr/>
          <w:p>
            <w:pPr>
              <w:pStyle w:val="Compact"/>
            </w:pPr>
            <w:r>
              <w:t xml:space="preserve">Best-practice guidance</w:t>
            </w:r>
          </w:p>
        </w:tc>
        <w:tc>
          <w:tcPr/>
          <w:p>
            <w:pPr>
              <w:pStyle w:val="Compact"/>
            </w:pPr>
            <w:r>
              <w:t xml:space="preserve">NIST AI RMF, CEPEJ Charter</w:t>
            </w:r>
          </w:p>
        </w:tc>
      </w:tr>
    </w:tbl>
    <w:p>
      <w:pPr>
        <w:pStyle w:val="BodyText"/>
      </w:pPr>
      <w:r>
        <w:t xml:space="preserve">Most organizations need two: one mandatory (legal) and one certifiable (business trust). The third standard is optional for organizations wanting comprehensive coverage.</w:t>
      </w:r>
    </w:p>
    <w:p>
      <w:r>
        <w:pict>
          <v:rect style="width:0;height:1.5pt" o:hralign="center" o:hrstd="t" o:hr="t"/>
        </w:pict>
      </w:r>
    </w:p>
    <w:bookmarkEnd w:id="21"/>
    <w:bookmarkEnd w:id="22"/>
    <w:bookmarkStart w:id="25" w:name="three-tier-access-model"/>
    <w:p>
      <w:pPr>
        <w:pStyle w:val="Heading1"/>
      </w:pPr>
      <w:r>
        <w:t xml:space="preserve">5. Three-Tier Access Model</w:t>
      </w:r>
    </w:p>
    <w:p>
      <w:pPr>
        <w:pStyle w:val="FirstParagraph"/>
      </w:pPr>
      <w:r>
        <w:t xml:space="preserve">The tier determines how many controls within each standard can actually be tested.</w:t>
      </w:r>
    </w:p>
    <w:tbl>
      <w:tblPr>
        <w:tblStyle w:val="Table"/>
        <w:tblW w:type="pct" w:w="5000"/>
        <w:tblLayout w:type="fixed"/>
        <w:tblLook w:firstRow="1" w:lastRow="0" w:firstColumn="0" w:lastColumn="0" w:noHBand="0" w:noVBand="0" w:val="0020"/>
      </w:tblPr>
      <w:tblGrid>
        <w:gridCol w:w="1011"/>
        <w:gridCol w:w="2190"/>
        <w:gridCol w:w="3033"/>
        <w:gridCol w:w="1685"/>
      </w:tblGrid>
      <w:tr>
        <w:trPr>
          <w:tblHeader w:val="on"/>
        </w:trPr>
        <w:tc>
          <w:tcPr/>
          <w:p>
            <w:pPr>
              <w:pStyle w:val="Compact"/>
            </w:pPr>
            <w:r>
              <w:t xml:space="preserve">Tier</w:t>
            </w:r>
          </w:p>
        </w:tc>
        <w:tc>
          <w:tcPr/>
          <w:p>
            <w:pPr>
              <w:pStyle w:val="Compact"/>
            </w:pPr>
            <w:r>
              <w:t xml:space="preserve">Access Level</w:t>
            </w:r>
          </w:p>
        </w:tc>
        <w:tc>
          <w:tcPr/>
          <w:p>
            <w:pPr>
              <w:pStyle w:val="Compact"/>
            </w:pPr>
            <w:r>
              <w:t xml:space="preserve">What You Provide</w:t>
            </w:r>
          </w:p>
        </w:tc>
        <w:tc>
          <w:tcPr/>
          <w:p>
            <w:pPr>
              <w:pStyle w:val="Compact"/>
            </w:pPr>
            <w:r>
              <w:t xml:space="preserve">Coverage</w:t>
            </w:r>
          </w:p>
        </w:tc>
      </w:tr>
      <w:tr>
        <w:tc>
          <w:tcPr/>
          <w:p>
            <w:pPr>
              <w:pStyle w:val="Compact"/>
            </w:pPr>
            <w:r>
              <w:rPr>
                <w:b/>
                <w:bCs/>
              </w:rPr>
              <w:t xml:space="preserve">Tier 1</w:t>
            </w:r>
          </w:p>
        </w:tc>
        <w:tc>
          <w:tcPr/>
          <w:p>
            <w:pPr>
              <w:pStyle w:val="Compact"/>
            </w:pPr>
            <w:r>
              <w:t xml:space="preserve">API Only</w:t>
            </w:r>
          </w:p>
        </w:tc>
        <w:tc>
          <w:tcPr/>
          <w:p>
            <w:pPr>
              <w:pStyle w:val="Compact"/>
            </w:pPr>
            <w:r>
              <w:t xml:space="preserve">Chatbot endpoint + API key</w:t>
            </w:r>
          </w:p>
        </w:tc>
        <w:tc>
          <w:tcPr/>
          <w:p>
            <w:pPr>
              <w:pStyle w:val="Compact"/>
            </w:pPr>
            <w:r>
              <w:t xml:space="preserve">~55-60% of controls</w:t>
            </w:r>
          </w:p>
        </w:tc>
      </w:tr>
      <w:tr>
        <w:tc>
          <w:tcPr/>
          <w:p>
            <w:pPr>
              <w:pStyle w:val="Compact"/>
            </w:pPr>
            <w:r>
              <w:rPr>
                <w:b/>
                <w:bCs/>
              </w:rPr>
              <w:t xml:space="preserve">Tier 2</w:t>
            </w:r>
          </w:p>
        </w:tc>
        <w:tc>
          <w:tcPr/>
          <w:p>
            <w:pPr>
              <w:pStyle w:val="Compact"/>
            </w:pPr>
            <w:r>
              <w:t xml:space="preserve">API + Infrastructure</w:t>
            </w:r>
          </w:p>
        </w:tc>
        <w:tc>
          <w:tcPr/>
          <w:p>
            <w:pPr>
              <w:pStyle w:val="Compact"/>
            </w:pPr>
            <w:r>
              <w:t xml:space="preserve">+ Cloud API keys, monitoring API, CI/CD access</w:t>
            </w:r>
          </w:p>
        </w:tc>
        <w:tc>
          <w:tcPr/>
          <w:p>
            <w:pPr>
              <w:pStyle w:val="Compact"/>
            </w:pPr>
            <w:r>
              <w:t xml:space="preserve">~80-85% of controls</w:t>
            </w:r>
          </w:p>
        </w:tc>
      </w:tr>
      <w:tr>
        <w:tc>
          <w:tcPr/>
          <w:p>
            <w:pPr>
              <w:pStyle w:val="Compact"/>
            </w:pPr>
            <w:r>
              <w:rPr>
                <w:b/>
                <w:bCs/>
              </w:rPr>
              <w:t xml:space="preserve">Tier 3</w:t>
            </w:r>
          </w:p>
        </w:tc>
        <w:tc>
          <w:tcPr/>
          <w:p>
            <w:pPr>
              <w:pStyle w:val="Compact"/>
            </w:pPr>
            <w:r>
              <w:t xml:space="preserve">Full Source + Staging</w:t>
            </w:r>
          </w:p>
        </w:tc>
        <w:tc>
          <w:tcPr/>
          <w:p>
            <w:pPr>
              <w:pStyle w:val="Compact"/>
            </w:pPr>
            <w:r>
              <w:t xml:space="preserve">+ Source code repo, staging env, model registry</w:t>
            </w:r>
          </w:p>
        </w:tc>
        <w:tc>
          <w:tcPr/>
          <w:p>
            <w:pPr>
              <w:pStyle w:val="Compact"/>
            </w:pPr>
            <w:r>
              <w:t xml:space="preserve">100% of controls</w:t>
            </w:r>
          </w:p>
        </w:tc>
      </w:tr>
    </w:tbl>
    <w:bookmarkStart w:id="23" w:name="what-each-tier-unlocks"/>
    <w:p>
      <w:pPr>
        <w:pStyle w:val="Heading2"/>
      </w:pPr>
      <w:r>
        <w:t xml:space="preserve">What Each Tier Unlocks</w:t>
      </w:r>
    </w:p>
    <w:p>
      <w:pPr>
        <w:pStyle w:val="FirstParagraph"/>
      </w:pPr>
      <w:r>
        <w:rPr>
          <w:b/>
          <w:bCs/>
        </w:rPr>
        <w:t xml:space="preserve">Tier 1 (Black-Box):</w:t>
      </w:r>
      <w:r>
        <w:t xml:space="preserve"> </w:t>
      </w:r>
      <w:r>
        <w:t xml:space="preserve">- Prompt injection testing</w:t>
      </w:r>
      <w:r>
        <w:t xml:space="preserve"> </w:t>
      </w:r>
      <w:r>
        <w:t xml:space="preserve">- Data leakage probes</w:t>
      </w:r>
      <w:r>
        <w:t xml:space="preserve"> </w:t>
      </w:r>
      <w:r>
        <w:t xml:space="preserve">- Output filtering checks</w:t>
      </w:r>
      <w:r>
        <w:t xml:space="preserve"> </w:t>
      </w:r>
      <w:r>
        <w:t xml:space="preserve">- Response consistency analysis</w:t>
      </w:r>
      <w:r>
        <w:t xml:space="preserve"> </w:t>
      </w:r>
      <w:r>
        <w:t xml:space="preserve">- Hallucination detection</w:t>
      </w:r>
      <w:r>
        <w:t xml:space="preserve"> </w:t>
      </w:r>
      <w:r>
        <w:t xml:space="preserve">- Self-reported compliance questionnaire probes</w:t>
      </w:r>
    </w:p>
    <w:p>
      <w:pPr>
        <w:pStyle w:val="BodyText"/>
      </w:pPr>
      <w:r>
        <w:rPr>
          <w:b/>
          <w:bCs/>
        </w:rPr>
        <w:t xml:space="preserve">Tier 2 (adds Gray-Box):</w:t>
      </w:r>
      <w:r>
        <w:t xml:space="preserve"> </w:t>
      </w:r>
      <w:r>
        <w:t xml:space="preserve">- Cloud configuration audit (AWS/GCP/Azure APIs)</w:t>
      </w:r>
      <w:r>
        <w:t xml:space="preserve"> </w:t>
      </w:r>
      <w:r>
        <w:t xml:space="preserve">- Monitoring and logging verification (Datadog/CloudWatch)</w:t>
      </w:r>
      <w:r>
        <w:t xml:space="preserve"> </w:t>
      </w:r>
      <w:r>
        <w:t xml:space="preserve">- CI/CD pipeline security checks</w:t>
      </w:r>
      <w:r>
        <w:t xml:space="preserve"> </w:t>
      </w:r>
      <w:r>
        <w:t xml:space="preserve">- Access control configuration review</w:t>
      </w:r>
      <w:r>
        <w:t xml:space="preserve"> </w:t>
      </w:r>
      <w:r>
        <w:t xml:space="preserve">- Encryption-at-rest/in-transit verification</w:t>
      </w:r>
      <w:r>
        <w:t xml:space="preserve"> </w:t>
      </w:r>
      <w:r>
        <w:t xml:space="preserve">- Network isolation checks</w:t>
      </w:r>
    </w:p>
    <w:p>
      <w:pPr>
        <w:pStyle w:val="BodyText"/>
      </w:pPr>
      <w:r>
        <w:rPr>
          <w:b/>
          <w:bCs/>
        </w:rPr>
        <w:t xml:space="preserve">Tier 3 (adds White-Box):</w:t>
      </w:r>
      <w:r>
        <w:t xml:space="preserve"> </w:t>
      </w:r>
      <w:r>
        <w:t xml:space="preserve">- Source code review for security vulnerabilities</w:t>
      </w:r>
      <w:r>
        <w:t xml:space="preserve"> </w:t>
      </w:r>
      <w:r>
        <w:t xml:space="preserve">- Model card and documentation verification</w:t>
      </w:r>
      <w:r>
        <w:t xml:space="preserve"> </w:t>
      </w:r>
      <w:r>
        <w:t xml:space="preserve">- Training data audit for bias/PII</w:t>
      </w:r>
      <w:r>
        <w:t xml:space="preserve"> </w:t>
      </w:r>
      <w:r>
        <w:t xml:space="preserve">- Vector DB content scanning</w:t>
      </w:r>
      <w:r>
        <w:t xml:space="preserve"> </w:t>
      </w:r>
      <w:r>
        <w:t xml:space="preserve">- Staging environment penetration testing</w:t>
      </w:r>
      <w:r>
        <w:t xml:space="preserve"> </w:t>
      </w:r>
      <w:r>
        <w:t xml:space="preserve">- Full dependency vulnerability scan</w:t>
      </w:r>
    </w:p>
    <w:bookmarkEnd w:id="23"/>
    <w:bookmarkStart w:id="24" w:name="tier-coverage-by-standard"/>
    <w:p>
      <w:pPr>
        <w:pStyle w:val="Heading2"/>
      </w:pPr>
      <w:r>
        <w:t xml:space="preserve">Tier Coverage by 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w:t>
            </w:r>
          </w:p>
        </w:tc>
        <w:tc>
          <w:tcPr/>
          <w:p>
            <w:pPr>
              <w:pStyle w:val="Compact"/>
            </w:pPr>
            <w:r>
              <w:t xml:space="preserve">Tier 1</w:t>
            </w:r>
          </w:p>
        </w:tc>
        <w:tc>
          <w:tcPr/>
          <w:p>
            <w:pPr>
              <w:pStyle w:val="Compact"/>
            </w:pPr>
            <w:r>
              <w:t xml:space="preserve">Tier 2</w:t>
            </w:r>
          </w:p>
        </w:tc>
        <w:tc>
          <w:tcPr/>
          <w:p>
            <w:pPr>
              <w:pStyle w:val="Compact"/>
            </w:pPr>
            <w:r>
              <w:t xml:space="preserve">Tier 3</w:t>
            </w:r>
          </w:p>
        </w:tc>
      </w:tr>
      <w:tr>
        <w:tc>
          <w:tcPr/>
          <w:p>
            <w:pPr>
              <w:pStyle w:val="Compact"/>
            </w:pPr>
            <w:r>
              <w:t xml:space="preserve">HIPAA</w:t>
            </w:r>
          </w:p>
        </w:tc>
        <w:tc>
          <w:tcPr/>
          <w:p>
            <w:pPr>
              <w:pStyle w:val="Compact"/>
            </w:pPr>
            <w:r>
              <w:t xml:space="preserve">7/12 controls</w:t>
            </w:r>
          </w:p>
        </w:tc>
        <w:tc>
          <w:tcPr/>
          <w:p>
            <w:pPr>
              <w:pStyle w:val="Compact"/>
            </w:pPr>
            <w:r>
              <w:t xml:space="preserve">10/12</w:t>
            </w:r>
          </w:p>
        </w:tc>
        <w:tc>
          <w:tcPr/>
          <w:p>
            <w:pPr>
              <w:pStyle w:val="Compact"/>
            </w:pPr>
            <w:r>
              <w:t xml:space="preserve">12/12</w:t>
            </w:r>
          </w:p>
        </w:tc>
      </w:tr>
      <w:tr>
        <w:tc>
          <w:tcPr/>
          <w:p>
            <w:pPr>
              <w:pStyle w:val="Compact"/>
            </w:pPr>
            <w:r>
              <w:t xml:space="preserve">ISO 42001</w:t>
            </w:r>
          </w:p>
        </w:tc>
        <w:tc>
          <w:tcPr/>
          <w:p>
            <w:pPr>
              <w:pStyle w:val="Compact"/>
            </w:pPr>
            <w:r>
              <w:t xml:space="preserve">22/38 controls</w:t>
            </w:r>
          </w:p>
        </w:tc>
        <w:tc>
          <w:tcPr/>
          <w:p>
            <w:pPr>
              <w:pStyle w:val="Compact"/>
            </w:pPr>
            <w:r>
              <w:t xml:space="preserve">32/38</w:t>
            </w:r>
          </w:p>
        </w:tc>
        <w:tc>
          <w:tcPr/>
          <w:p>
            <w:pPr>
              <w:pStyle w:val="Compact"/>
            </w:pPr>
            <w:r>
              <w:t xml:space="preserve">38/38</w:t>
            </w:r>
          </w:p>
        </w:tc>
      </w:tr>
      <w:tr>
        <w:tc>
          <w:tcPr/>
          <w:p>
            <w:pPr>
              <w:pStyle w:val="Compact"/>
            </w:pPr>
            <w:r>
              <w:t xml:space="preserve">NIST AI RMF</w:t>
            </w:r>
          </w:p>
        </w:tc>
        <w:tc>
          <w:tcPr/>
          <w:p>
            <w:pPr>
              <w:pStyle w:val="Compact"/>
            </w:pPr>
            <w:r>
              <w:t xml:space="preserve">15/27 controls</w:t>
            </w:r>
          </w:p>
        </w:tc>
        <w:tc>
          <w:tcPr/>
          <w:p>
            <w:pPr>
              <w:pStyle w:val="Compact"/>
            </w:pPr>
            <w:r>
              <w:t xml:space="preserve">23/27</w:t>
            </w:r>
          </w:p>
        </w:tc>
        <w:tc>
          <w:tcPr/>
          <w:p>
            <w:pPr>
              <w:pStyle w:val="Compact"/>
            </w:pPr>
            <w:r>
              <w:t xml:space="preserve">27/27</w:t>
            </w:r>
          </w:p>
        </w:tc>
      </w:tr>
      <w:tr>
        <w:tc>
          <w:tcPr/>
          <w:p>
            <w:pPr>
              <w:pStyle w:val="Compact"/>
            </w:pPr>
            <w:r>
              <w:t xml:space="preserve">EU AI Act</w:t>
            </w:r>
          </w:p>
        </w:tc>
        <w:tc>
          <w:tcPr/>
          <w:p>
            <w:pPr>
              <w:pStyle w:val="Compact"/>
            </w:pPr>
            <w:r>
              <w:t xml:space="preserve">12/22 controls</w:t>
            </w:r>
          </w:p>
        </w:tc>
        <w:tc>
          <w:tcPr/>
          <w:p>
            <w:pPr>
              <w:pStyle w:val="Compact"/>
            </w:pPr>
            <w:r>
              <w:t xml:space="preserve">18/22</w:t>
            </w:r>
          </w:p>
        </w:tc>
        <w:tc>
          <w:tcPr/>
          <w:p>
            <w:pPr>
              <w:pStyle w:val="Compact"/>
            </w:pPr>
            <w:r>
              <w:t xml:space="preserve">22/22</w:t>
            </w:r>
          </w:p>
        </w:tc>
      </w:tr>
      <w:tr>
        <w:tc>
          <w:tcPr/>
          <w:p>
            <w:pPr>
              <w:pStyle w:val="Compact"/>
            </w:pPr>
            <w:r>
              <w:t xml:space="preserve">SOC 2 Type II</w:t>
            </w:r>
          </w:p>
        </w:tc>
        <w:tc>
          <w:tcPr/>
          <w:p>
            <w:pPr>
              <w:pStyle w:val="Compact"/>
            </w:pPr>
            <w:r>
              <w:t xml:space="preserve">8/17 controls</w:t>
            </w:r>
          </w:p>
        </w:tc>
        <w:tc>
          <w:tcPr/>
          <w:p>
            <w:pPr>
              <w:pStyle w:val="Compact"/>
            </w:pPr>
            <w:r>
              <w:t xml:space="preserve">15/17</w:t>
            </w:r>
          </w:p>
        </w:tc>
        <w:tc>
          <w:tcPr/>
          <w:p>
            <w:pPr>
              <w:pStyle w:val="Compact"/>
            </w:pPr>
            <w:r>
              <w:t xml:space="preserve">17/17</w:t>
            </w:r>
          </w:p>
        </w:tc>
      </w:tr>
      <w:tr>
        <w:tc>
          <w:tcPr/>
          <w:p>
            <w:pPr>
              <w:pStyle w:val="Compact"/>
            </w:pPr>
            <w:r>
              <w:t xml:space="preserve">NYC LL144</w:t>
            </w:r>
          </w:p>
        </w:tc>
        <w:tc>
          <w:tcPr/>
          <w:p>
            <w:pPr>
              <w:pStyle w:val="Compact"/>
            </w:pPr>
            <w:r>
              <w:t xml:space="preserve">6/8 controls</w:t>
            </w:r>
          </w:p>
        </w:tc>
        <w:tc>
          <w:tcPr/>
          <w:p>
            <w:pPr>
              <w:pStyle w:val="Compact"/>
            </w:pPr>
            <w:r>
              <w:t xml:space="preserve">7/8</w:t>
            </w:r>
          </w:p>
        </w:tc>
        <w:tc>
          <w:tcPr/>
          <w:p>
            <w:pPr>
              <w:pStyle w:val="Compact"/>
            </w:pPr>
            <w:r>
              <w:t xml:space="preserve">8/8</w:t>
            </w:r>
          </w:p>
        </w:tc>
      </w:tr>
    </w:tbl>
    <w:p>
      <w:pPr>
        <w:pStyle w:val="BodyText"/>
      </w:pPr>
      <w:r>
        <w:t xml:space="preserve">Controls that cannot be tested at the current tier are marked</w:t>
      </w:r>
      <w:r>
        <w:t xml:space="preserve"> </w:t>
      </w:r>
      <w:r>
        <w:rPr>
          <w:b/>
          <w:bCs/>
        </w:rPr>
        <w:t xml:space="preserve">“Not Assessed - requires Tier X”</w:t>
      </w:r>
      <w:r>
        <w:t xml:space="preserve"> </w:t>
      </w:r>
      <w:r>
        <w:t xml:space="preserve">in the report, with confidence scored at 0.</w:t>
      </w:r>
    </w:p>
    <w:p>
      <w:r>
        <w:pict>
          <v:rect style="width:0;height:1.5pt" o:hralign="center" o:hrstd="t" o:hr="t"/>
        </w:pict>
      </w:r>
    </w:p>
    <w:bookmarkEnd w:id="24"/>
    <w:bookmarkEnd w:id="25"/>
    <w:bookmarkStart w:id="32" w:name="X58f5526a2f6856941a6798500fd9d654feba026"/>
    <w:p>
      <w:pPr>
        <w:pStyle w:val="Heading1"/>
      </w:pPr>
      <w:r>
        <w:t xml:space="preserve">6. Governance Pillars and Trustworthy-AI Characteristics</w:t>
      </w:r>
    </w:p>
    <w:p>
      <w:pPr>
        <w:pStyle w:val="CaptionedFigure"/>
      </w:pPr>
      <w:r>
        <w:drawing>
          <wp:inline>
            <wp:extent cx="5943600" cy="2582989"/>
            <wp:effectExtent b="0" l="0" r="0" t="0"/>
            <wp:docPr descr="Governance Pillars Mapping" title="" id="27" name="Picture"/>
            <a:graphic>
              <a:graphicData uri="http://schemas.openxmlformats.org/drawingml/2006/picture">
                <pic:pic>
                  <pic:nvPicPr>
                    <pic:cNvPr descr="diagrams/png/governance_pillars_mapping.png" id="28" name="Picture"/>
                    <pic:cNvPicPr>
                      <a:picLocks noChangeArrowheads="1" noChangeAspect="1"/>
                    </pic:cNvPicPr>
                  </pic:nvPicPr>
                  <pic:blipFill>
                    <a:blip r:embed="rId26"/>
                    <a:stretch>
                      <a:fillRect/>
                    </a:stretch>
                  </pic:blipFill>
                  <pic:spPr bwMode="auto">
                    <a:xfrm>
                      <a:off x="0" y="0"/>
                      <a:ext cx="5943600" cy="2582989"/>
                    </a:xfrm>
                    <a:prstGeom prst="rect">
                      <a:avLst/>
                    </a:prstGeom>
                    <a:noFill/>
                    <a:ln w="9525">
                      <a:noFill/>
                      <a:headEnd/>
                      <a:tailEnd/>
                    </a:ln>
                  </pic:spPr>
                </pic:pic>
              </a:graphicData>
            </a:graphic>
          </wp:inline>
        </w:drawing>
      </w:r>
    </w:p>
    <w:p>
      <w:pPr>
        <w:pStyle w:val="ImageCaption"/>
      </w:pPr>
      <w:r>
        <w:t xml:space="preserve">Governance Pillars Mapping</w:t>
      </w:r>
    </w:p>
    <w:bookmarkStart w:id="29" w:name="the-common-layer-under-every-standard"/>
    <w:p>
      <w:pPr>
        <w:pStyle w:val="Heading2"/>
      </w:pPr>
      <w:r>
        <w:t xml:space="preserve">The Common Layer Under Every Standard</w:t>
      </w:r>
    </w:p>
    <w:p>
      <w:pPr>
        <w:pStyle w:val="FirstParagraph"/>
      </w:pPr>
      <w:r>
        <w:t xml:space="preserve">Even though evaluation is organized by standard, every single control - regardless of which standard it comes from - is tagged to one of</w:t>
      </w:r>
      <w:r>
        <w:t xml:space="preserve"> </w:t>
      </w:r>
      <w:r>
        <w:rPr>
          <w:b/>
          <w:bCs/>
        </w:rPr>
        <w:t xml:space="preserve">5 governance pillars</w:t>
      </w:r>
      <w:r>
        <w:t xml:space="preserve">:</w:t>
      </w:r>
    </w:p>
    <w:tbl>
      <w:tblPr>
        <w:tblStyle w:val="Table"/>
        <w:tblW w:type="pct" w:w="5000"/>
        <w:tblLayout w:type="fixed"/>
        <w:tblLook w:firstRow="1" w:lastRow="0" w:firstColumn="0" w:lastColumn="0" w:noHBand="0" w:noVBand="0" w:val="0020"/>
      </w:tblPr>
      <w:tblGrid>
        <w:gridCol w:w="960"/>
        <w:gridCol w:w="960"/>
        <w:gridCol w:w="6000"/>
      </w:tblGrid>
      <w:tr>
        <w:trPr>
          <w:tblHeader w:val="on"/>
        </w:trPr>
        <w:tc>
          <w:tcPr/>
          <w:p>
            <w:pPr>
              <w:pStyle w:val="Compact"/>
            </w:pPr>
            <w:r>
              <w:t xml:space="preserve">Pillar</w:t>
            </w:r>
          </w:p>
        </w:tc>
        <w:tc>
          <w:tcPr/>
          <w:p>
            <w:pPr>
              <w:pStyle w:val="Compact"/>
            </w:pPr>
            <w:r>
              <w:t xml:space="preserve">Covers</w:t>
            </w:r>
          </w:p>
        </w:tc>
        <w:tc>
          <w:tcPr/>
          <w:p>
            <w:pPr>
              <w:pStyle w:val="Compact"/>
            </w:pPr>
            <w:r>
              <w:t xml:space="preserve">Built on (NIST Trustworthy-AI Characteristics)</w:t>
            </w:r>
          </w:p>
        </w:tc>
      </w:tr>
      <w:tr>
        <w:tc>
          <w:tcPr/>
          <w:p>
            <w:pPr>
              <w:pStyle w:val="Compact"/>
            </w:pPr>
            <w:r>
              <w:rPr>
                <w:b/>
                <w:bCs/>
              </w:rPr>
              <w:t xml:space="preserve">Trust</w:t>
            </w:r>
          </w:p>
        </w:tc>
        <w:tc>
          <w:tcPr/>
          <w:p>
            <w:pPr>
              <w:pStyle w:val="Compact"/>
            </w:pPr>
            <w:r>
              <w:t xml:space="preserve">Explainability, human oversight, accuracy, fairness/bias monitoring</w:t>
            </w:r>
          </w:p>
        </w:tc>
        <w:tc>
          <w:tcPr/>
          <w:p>
            <w:pPr>
              <w:pStyle w:val="Compact"/>
            </w:pPr>
            <w:r>
              <w:t xml:space="preserve">Valid &amp; Reliable, Explainable &amp; Interpretable, Fair (bias managed)</w:t>
            </w:r>
          </w:p>
        </w:tc>
      </w:tr>
      <w:tr>
        <w:tc>
          <w:tcPr/>
          <w:p>
            <w:pPr>
              <w:pStyle w:val="Compact"/>
            </w:pPr>
            <w:r>
              <w:rPr>
                <w:b/>
                <w:bCs/>
              </w:rPr>
              <w:t xml:space="preserve">Security</w:t>
            </w:r>
          </w:p>
        </w:tc>
        <w:tc>
          <w:tcPr/>
          <w:p>
            <w:pPr>
              <w:pStyle w:val="Compact"/>
            </w:pPr>
            <w:r>
              <w:t xml:space="preserve">IAM, encryption, network isolation, guardrails, injection defence</w:t>
            </w:r>
          </w:p>
        </w:tc>
        <w:tc>
          <w:tcPr/>
          <w:p>
            <w:pPr>
              <w:pStyle w:val="Compact"/>
            </w:pPr>
            <w:r>
              <w:t xml:space="preserve">Secure &amp; Resilient</w:t>
            </w:r>
          </w:p>
        </w:tc>
      </w:tr>
      <w:tr>
        <w:tc>
          <w:tcPr/>
          <w:p>
            <w:pPr>
              <w:pStyle w:val="Compact"/>
            </w:pPr>
            <w:r>
              <w:rPr>
                <w:b/>
                <w:bCs/>
              </w:rPr>
              <w:t xml:space="preserve">Governance</w:t>
            </w:r>
          </w:p>
        </w:tc>
        <w:tc>
          <w:tcPr/>
          <w:p>
            <w:pPr>
              <w:pStyle w:val="Compact"/>
            </w:pPr>
            <w:r>
              <w:t xml:space="preserve">Operating model, AI inventory, model cards, roles, release control</w:t>
            </w:r>
          </w:p>
        </w:tc>
        <w:tc>
          <w:tcPr/>
          <w:p>
            <w:pPr>
              <w:pStyle w:val="Compact"/>
            </w:pPr>
            <w:r>
              <w:t xml:space="preserve">Accountable &amp; Transparent</w:t>
            </w:r>
          </w:p>
        </w:tc>
      </w:tr>
      <w:tr>
        <w:tc>
          <w:tcPr/>
          <w:p>
            <w:pPr>
              <w:pStyle w:val="Compact"/>
            </w:pPr>
            <w:r>
              <w:rPr>
                <w:b/>
                <w:bCs/>
              </w:rPr>
              <w:t xml:space="preserve">Compliance</w:t>
            </w:r>
          </w:p>
        </w:tc>
        <w:tc>
          <w:tcPr/>
          <w:p>
            <w:pPr>
              <w:pStyle w:val="Compact"/>
            </w:pPr>
            <w:r>
              <w:t xml:space="preserve">Regulatory mapping, impact assessments, audit trails, breach runbooks</w:t>
            </w:r>
          </w:p>
        </w:tc>
        <w:tc>
          <w:tcPr/>
          <w:p>
            <w:pPr>
              <w:pStyle w:val="Compact"/>
            </w:pPr>
            <w:r>
              <w:t xml:space="preserve">Accountable &amp; Transparent</w:t>
            </w:r>
          </w:p>
        </w:tc>
      </w:tr>
      <w:tr>
        <w:tc>
          <w:tcPr/>
          <w:p>
            <w:pPr>
              <w:pStyle w:val="Compact"/>
            </w:pPr>
            <w:r>
              <w:rPr>
                <w:b/>
                <w:bCs/>
              </w:rPr>
              <w:t xml:space="preserve">Data Protection</w:t>
            </w:r>
          </w:p>
        </w:tc>
        <w:tc>
          <w:tcPr/>
          <w:p>
            <w:pPr>
              <w:pStyle w:val="Compact"/>
            </w:pPr>
            <w:r>
              <w:t xml:space="preserve">Minimisation, PII redaction, retention rules, data-subject rights</w:t>
            </w:r>
          </w:p>
        </w:tc>
        <w:tc>
          <w:tcPr/>
          <w:p>
            <w:pPr>
              <w:pStyle w:val="Compact"/>
            </w:pPr>
            <w:r>
              <w:t xml:space="preserve">Privacy-Enhanced</w:t>
            </w:r>
          </w:p>
        </w:tc>
      </w:tr>
    </w:tbl>
    <w:p>
      <w:pPr>
        <w:pStyle w:val="BodyText"/>
      </w:pPr>
      <w:r>
        <w:t xml:space="preserve">These 5 pillars are themselves built on the</w:t>
      </w:r>
      <w:r>
        <w:t xml:space="preserve"> </w:t>
      </w:r>
      <w:r>
        <w:rPr>
          <w:b/>
          <w:bCs/>
        </w:rPr>
        <w:t xml:space="preserve">7 trustworthy-AI characteristics</w:t>
      </w:r>
      <w:r>
        <w:t xml:space="preserve"> </w:t>
      </w:r>
      <w:r>
        <w:t xml:space="preserve">defined by the NIST AI Risk Management Framework: Valid &amp; Reliable, Safe, Secure &amp; Resilient, Accountable &amp; Transparent, Explainable &amp; Interpretable, Privacy-Enhanced, and Fair (bias managed).</w:t>
      </w:r>
    </w:p>
    <w:bookmarkEnd w:id="29"/>
    <w:bookmarkStart w:id="30" w:name="why-pillar-tagging-matters"/>
    <w:p>
      <w:pPr>
        <w:pStyle w:val="Heading2"/>
      </w:pPr>
      <w:r>
        <w:t xml:space="preserve">Why Pillar Tagging Matters</w:t>
      </w:r>
    </w:p>
    <w:p>
      <w:pPr>
        <w:pStyle w:val="Compact"/>
        <w:numPr>
          <w:ilvl w:val="0"/>
          <w:numId w:val="1003"/>
        </w:numPr>
      </w:pPr>
      <w:r>
        <w:rPr>
          <w:b/>
          <w:bCs/>
        </w:rPr>
        <w:t xml:space="preserve">Cross-standard comparability</w:t>
      </w:r>
      <w:r>
        <w:t xml:space="preserve"> </w:t>
      </w:r>
      <w:r>
        <w:t xml:space="preserve">- a client who runs HIPAA + ISO 42001 can see how they’re doing on</w:t>
      </w:r>
      <w:r>
        <w:t xml:space="preserve"> </w:t>
      </w:r>
      <w:r>
        <w:t xml:space="preserve">“Security”</w:t>
      </w:r>
      <w:r>
        <w:t xml:space="preserve"> </w:t>
      </w:r>
      <w:r>
        <w:t xml:space="preserve">overall, not just per standard</w:t>
      </w:r>
    </w:p>
    <w:p>
      <w:pPr>
        <w:pStyle w:val="Compact"/>
        <w:numPr>
          <w:ilvl w:val="0"/>
          <w:numId w:val="1003"/>
        </w:numPr>
      </w:pPr>
      <w:r>
        <w:rPr>
          <w:b/>
          <w:bCs/>
        </w:rPr>
        <w:t xml:space="preserve">Shared-gap detection</w:t>
      </w:r>
      <w:r>
        <w:t xml:space="preserve"> </w:t>
      </w:r>
      <w:r>
        <w:t xml:space="preserve">- if a HIPAA control and an ISO control both tag to</w:t>
      </w:r>
      <w:r>
        <w:t xml:space="preserve"> </w:t>
      </w:r>
      <w:r>
        <w:t xml:space="preserve">“Security”</w:t>
      </w:r>
      <w:r>
        <w:t xml:space="preserve"> </w:t>
      </w:r>
      <w:r>
        <w:t xml:space="preserve">and both fail for the same underlying reason (e.g. no encryption at rest), the system flags this as one fix that resolves two findings</w:t>
      </w:r>
    </w:p>
    <w:p>
      <w:pPr>
        <w:pStyle w:val="Compact"/>
        <w:numPr>
          <w:ilvl w:val="0"/>
          <w:numId w:val="1003"/>
        </w:numPr>
      </w:pPr>
      <w:r>
        <w:rPr>
          <w:b/>
          <w:bCs/>
        </w:rPr>
        <w:t xml:space="preserve">Consistent executive reporting</w:t>
      </w:r>
      <w:r>
        <w:t xml:space="preserve"> </w:t>
      </w:r>
      <w:r>
        <w:t xml:space="preserve">- leadership gets a simple 5-pillar radar chart regardless of which specific standards were technically evaluated</w:t>
      </w:r>
    </w:p>
    <w:p>
      <w:pPr>
        <w:pStyle w:val="Compact"/>
        <w:numPr>
          <w:ilvl w:val="0"/>
          <w:numId w:val="1003"/>
        </w:numPr>
      </w:pPr>
      <w:r>
        <w:rPr>
          <w:b/>
          <w:bCs/>
        </w:rPr>
        <w:t xml:space="preserve">Future-proofing</w:t>
      </w:r>
      <w:r>
        <w:t xml:space="preserve"> </w:t>
      </w:r>
      <w:r>
        <w:t xml:space="preserve">- when a new standard is added via a YAML control pack, tagging its controls to the existing 5 pillars means it plugs directly into existing dashboards and cross-standard insight logic with no extra engineering</w:t>
      </w:r>
    </w:p>
    <w:bookmarkEnd w:id="30"/>
    <w:bookmarkStart w:id="31" w:name="example-same-pillar-different-standards"/>
    <w:p>
      <w:pPr>
        <w:pStyle w:val="Heading2"/>
      </w:pPr>
      <w:r>
        <w:t xml:space="preserve">Example: Same Pillar, Different Standards</w:t>
      </w:r>
    </w:p>
    <w:tbl>
      <w:tblPr>
        <w:tblStyle w:val="Table"/>
        <w:tblW w:type="pct" w:w="5000"/>
        <w:tblLayout w:type="fixed"/>
        <w:tblLook w:firstRow="1" w:lastRow="0" w:firstColumn="0" w:lastColumn="0" w:noHBand="0" w:noVBand="0" w:val="0020"/>
      </w:tblPr>
      <w:tblGrid>
        <w:gridCol w:w="1218"/>
        <w:gridCol w:w="1096"/>
        <w:gridCol w:w="1827"/>
        <w:gridCol w:w="3777"/>
      </w:tblGrid>
      <w:tr>
        <w:trPr>
          <w:tblHeader w:val="on"/>
        </w:trPr>
        <w:tc>
          <w:tcPr/>
          <w:p>
            <w:pPr>
              <w:pStyle w:val="Compact"/>
            </w:pPr>
            <w:r>
              <w:t xml:space="preserve">Standard</w:t>
            </w:r>
          </w:p>
        </w:tc>
        <w:tc>
          <w:tcPr/>
          <w:p>
            <w:pPr>
              <w:pStyle w:val="Compact"/>
            </w:pPr>
            <w:r>
              <w:t xml:space="preserve">Control</w:t>
            </w:r>
          </w:p>
        </w:tc>
        <w:tc>
          <w:tcPr/>
          <w:p>
            <w:pPr>
              <w:pStyle w:val="Compact"/>
            </w:pPr>
            <w:r>
              <w:t xml:space="preserve">Pillar Tag(s)</w:t>
            </w:r>
          </w:p>
        </w:tc>
        <w:tc>
          <w:tcPr/>
          <w:p>
            <w:pPr>
              <w:pStyle w:val="Compact"/>
            </w:pPr>
            <w:r>
              <w:t xml:space="preserve">Trustworthy-AI Characteristic</w:t>
            </w:r>
          </w:p>
        </w:tc>
      </w:tr>
      <w:tr>
        <w:tc>
          <w:tcPr/>
          <w:p>
            <w:pPr>
              <w:pStyle w:val="Compact"/>
            </w:pPr>
            <w:r>
              <w:t xml:space="preserve">HIPAA</w:t>
            </w:r>
          </w:p>
        </w:tc>
        <w:tc>
          <w:tcPr/>
          <w:p>
            <w:pPr>
              <w:pStyle w:val="Compact"/>
            </w:pPr>
            <w:r>
              <w:t xml:space="preserve">164.312(a)(2)(iv) Encryption</w:t>
            </w:r>
          </w:p>
        </w:tc>
        <w:tc>
          <w:tcPr/>
          <w:p>
            <w:pPr>
              <w:pStyle w:val="Compact"/>
            </w:pPr>
            <w:r>
              <w:t xml:space="preserve">Security, Data Protection</w:t>
            </w:r>
          </w:p>
        </w:tc>
        <w:tc>
          <w:tcPr/>
          <w:p>
            <w:pPr>
              <w:pStyle w:val="Compact"/>
            </w:pPr>
            <w:r>
              <w:t xml:space="preserve">Secure &amp; Resilient</w:t>
            </w:r>
          </w:p>
        </w:tc>
      </w:tr>
      <w:tr>
        <w:tc>
          <w:tcPr/>
          <w:p>
            <w:pPr>
              <w:pStyle w:val="Compact"/>
            </w:pPr>
            <w:r>
              <w:t xml:space="preserve">ISO 42001</w:t>
            </w:r>
          </w:p>
        </w:tc>
        <w:tc>
          <w:tcPr/>
          <w:p>
            <w:pPr>
              <w:pStyle w:val="Compact"/>
            </w:pPr>
            <w:r>
              <w:t xml:space="preserve">A.6.2.7 Data Security</w:t>
            </w:r>
          </w:p>
        </w:tc>
        <w:tc>
          <w:tcPr/>
          <w:p>
            <w:pPr>
              <w:pStyle w:val="Compact"/>
            </w:pPr>
            <w:r>
              <w:t xml:space="preserve">Security, Data Protection</w:t>
            </w:r>
          </w:p>
        </w:tc>
        <w:tc>
          <w:tcPr/>
          <w:p>
            <w:pPr>
              <w:pStyle w:val="Compact"/>
            </w:pPr>
            <w:r>
              <w:t xml:space="preserve">Secure &amp; Resilient</w:t>
            </w:r>
          </w:p>
        </w:tc>
      </w:tr>
      <w:tr>
        <w:tc>
          <w:tcPr/>
          <w:p>
            <w:pPr>
              <w:pStyle w:val="Compact"/>
            </w:pPr>
            <w:r>
              <w:t xml:space="preserve">HIPAA</w:t>
            </w:r>
          </w:p>
        </w:tc>
        <w:tc>
          <w:tcPr/>
          <w:p>
            <w:pPr>
              <w:pStyle w:val="Compact"/>
            </w:pPr>
            <w:r>
              <w:t xml:space="preserve">164.308(a)(1) Risk Analysis</w:t>
            </w:r>
          </w:p>
        </w:tc>
        <w:tc>
          <w:tcPr/>
          <w:p>
            <w:pPr>
              <w:pStyle w:val="Compact"/>
            </w:pPr>
            <w:r>
              <w:t xml:space="preserve">Governance, Compliance</w:t>
            </w:r>
          </w:p>
        </w:tc>
        <w:tc>
          <w:tcPr/>
          <w:p>
            <w:pPr>
              <w:pStyle w:val="Compact"/>
            </w:pPr>
            <w:r>
              <w:t xml:space="preserve">Accountable &amp; Transparent</w:t>
            </w:r>
          </w:p>
        </w:tc>
      </w:tr>
      <w:tr>
        <w:tc>
          <w:tcPr/>
          <w:p>
            <w:pPr>
              <w:pStyle w:val="Compact"/>
            </w:pPr>
            <w:r>
              <w:t xml:space="preserve">NYC LL144</w:t>
            </w:r>
          </w:p>
        </w:tc>
        <w:tc>
          <w:tcPr/>
          <w:p>
            <w:pPr>
              <w:pStyle w:val="Compact"/>
            </w:pPr>
            <w:r>
              <w:t xml:space="preserve">Bias Audit - selection rate by group</w:t>
            </w:r>
          </w:p>
        </w:tc>
        <w:tc>
          <w:tcPr/>
          <w:p>
            <w:pPr>
              <w:pStyle w:val="Compact"/>
            </w:pPr>
            <w:r>
              <w:t xml:space="preserve">Trust</w:t>
            </w:r>
          </w:p>
        </w:tc>
        <w:tc>
          <w:tcPr/>
          <w:p>
            <w:pPr>
              <w:pStyle w:val="Compact"/>
            </w:pPr>
            <w:r>
              <w:t xml:space="preserve">Fair (bias managed)</w:t>
            </w:r>
          </w:p>
        </w:tc>
      </w:tr>
      <w:tr>
        <w:tc>
          <w:tcPr/>
          <w:p>
            <w:pPr>
              <w:pStyle w:val="Compact"/>
            </w:pPr>
            <w:r>
              <w:t xml:space="preserve">ISO 42001</w:t>
            </w:r>
          </w:p>
        </w:tc>
        <w:tc>
          <w:tcPr/>
          <w:p>
            <w:pPr>
              <w:pStyle w:val="Compact"/>
            </w:pPr>
            <w:r>
              <w:t xml:space="preserve">A.4.3 AI System Risk Assessment</w:t>
            </w:r>
          </w:p>
        </w:tc>
        <w:tc>
          <w:tcPr/>
          <w:p>
            <w:pPr>
              <w:pStyle w:val="Compact"/>
            </w:pPr>
            <w:r>
              <w:t xml:space="preserve">Trust, Governance</w:t>
            </w:r>
          </w:p>
        </w:tc>
        <w:tc>
          <w:tcPr/>
          <w:p>
            <w:pPr>
              <w:pStyle w:val="Compact"/>
            </w:pPr>
            <w:r>
              <w:t xml:space="preserve">Valid &amp; Reliable</w:t>
            </w:r>
          </w:p>
        </w:tc>
      </w:tr>
      <w:tr>
        <w:tc>
          <w:tcPr/>
          <w:p>
            <w:pPr>
              <w:pStyle w:val="Compact"/>
            </w:pPr>
            <w:r>
              <w:t xml:space="preserve">OWASP LLM01</w:t>
            </w:r>
          </w:p>
        </w:tc>
        <w:tc>
          <w:tcPr/>
          <w:p>
            <w:pPr>
              <w:pStyle w:val="Compact"/>
            </w:pPr>
            <w:r>
              <w:t xml:space="preserve">Prompt Injection Resistance</w:t>
            </w:r>
          </w:p>
        </w:tc>
        <w:tc>
          <w:tcPr/>
          <w:p>
            <w:pPr>
              <w:pStyle w:val="Compact"/>
            </w:pPr>
            <w:r>
              <w:t xml:space="preserve">Security</w:t>
            </w:r>
          </w:p>
        </w:tc>
        <w:tc>
          <w:tcPr/>
          <w:p>
            <w:pPr>
              <w:pStyle w:val="Compact"/>
            </w:pPr>
            <w:r>
              <w:t xml:space="preserve">Secure &amp; Resilient</w:t>
            </w:r>
          </w:p>
        </w:tc>
      </w:tr>
    </w:tbl>
    <w:p>
      <w:pPr>
        <w:pStyle w:val="BodyText"/>
      </w:pPr>
      <w:r>
        <w:t xml:space="preserve">Because the HIPAA encryption control and the ISO 42001 data security control share the same pillar tags, fixing the underlying encryption gap resolves both findings at once - this is exactly what the Cross-Standard Insights report surfaces.</w:t>
      </w:r>
    </w:p>
    <w:p>
      <w:r>
        <w:pict>
          <v:rect style="width:0;height:1.5pt" o:hralign="center" o:hrstd="t" o:hr="t"/>
        </w:pict>
      </w:r>
    </w:p>
    <w:bookmarkEnd w:id="31"/>
    <w:bookmarkEnd w:id="32"/>
    <w:bookmarkStart w:id="41" w:name="per-standard-evaluation-engine"/>
    <w:p>
      <w:pPr>
        <w:pStyle w:val="Heading1"/>
      </w:pPr>
      <w:r>
        <w:t xml:space="preserve">7. Per-Standard Evaluation Engine</w:t>
      </w:r>
    </w:p>
    <w:p>
      <w:pPr>
        <w:pStyle w:val="CaptionedFigure"/>
      </w:pPr>
      <w:r>
        <w:drawing>
          <wp:inline>
            <wp:extent cx="5943600" cy="3962400"/>
            <wp:effectExtent b="0" l="0" r="0" t="0"/>
            <wp:docPr descr="Per-Standard Evaluation Detail" title="" id="34" name="Picture"/>
            <a:graphic>
              <a:graphicData uri="http://schemas.openxmlformats.org/drawingml/2006/picture">
                <pic:pic>
                  <pic:nvPicPr>
                    <pic:cNvPr descr="diagrams/png/per_standard_evaluation.png" id="35" name="Picture"/>
                    <pic:cNvPicPr>
                      <a:picLocks noChangeArrowheads="1" noChangeAspect="1"/>
                    </pic:cNvPicPr>
                  </pic:nvPicPr>
                  <pic:blipFill>
                    <a:blip r:embed="rId33"/>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Per-Standard Evaluation Detail</w:t>
      </w:r>
    </w:p>
    <w:bookmarkStart w:id="36" w:name="internal-flow"/>
    <w:p>
      <w:pPr>
        <w:pStyle w:val="Heading2"/>
      </w:pPr>
      <w:r>
        <w:t xml:space="preserve">Internal Flow</w:t>
      </w:r>
    </w:p>
    <w:p>
      <w:pPr>
        <w:pStyle w:val="FirstParagraph"/>
      </w:pPr>
      <w:r>
        <w:t xml:space="preserve">Each selected standard follows this flow:</w:t>
      </w:r>
    </w:p>
    <w:p>
      <w:pPr>
        <w:pStyle w:val="SourceCode"/>
      </w:pPr>
      <w:r>
        <w:rPr>
          <w:rStyle w:val="VerbatimChar"/>
        </w:rPr>
        <w:t xml:space="preserve">LOAD CONTROL PACK --&gt; FILTER BY TIER --&gt; EXECUTE TESTS --&gt; SCORE --&gt; FORMAT REPORT</w:t>
      </w:r>
    </w:p>
    <w:bookmarkEnd w:id="36"/>
    <w:bookmarkStart w:id="37" w:name="control-pack-structure"/>
    <w:p>
      <w:pPr>
        <w:pStyle w:val="Heading2"/>
      </w:pPr>
      <w:r>
        <w:t xml:space="preserve">7.1 Control Pack Structure</w:t>
      </w:r>
    </w:p>
    <w:p>
      <w:pPr>
        <w:pStyle w:val="FirstParagraph"/>
      </w:pPr>
      <w:r>
        <w:t xml:space="preserve">Each standard is defined as a YAML control pack, and every control carries a</w:t>
      </w:r>
      <w:r>
        <w:t xml:space="preserve"> </w:t>
      </w:r>
      <w:r>
        <w:rPr>
          <w:rStyle w:val="VerbatimChar"/>
        </w:rPr>
        <w:t xml:space="preserve">pillar_tag</w:t>
      </w:r>
      <w:r>
        <w:t xml:space="preserve"> </w:t>
      </w:r>
      <w:r>
        <w:t xml:space="preserve">alongside its test definition:</w:t>
      </w:r>
    </w:p>
    <w:p>
      <w:pPr>
        <w:pStyle w:val="SourceCode"/>
      </w:pPr>
      <w:r>
        <w:rPr>
          <w:rStyle w:val="CommentTok"/>
        </w:rPr>
        <w:t xml:space="preserve"># control_packs/hipaa.yaml</w:t>
      </w:r>
      <w:r>
        <w:br/>
      </w:r>
      <w:r>
        <w:rPr>
          <w:rStyle w:val="FunctionTok"/>
        </w:rPr>
        <w:t xml:space="preserve">standard</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hipaa</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"HIPAA (Health Insurance Portability and Accountability Act)"</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"45 CFR Parts 160, 162, 164"</w:t>
      </w:r>
      <w:r>
        <w:br/>
      </w:r>
      <w:r>
        <w:rPr>
          <w:rStyle w:val="AttributeTok"/>
        </w:rPr>
        <w:t xml:space="preserve">  </w:t>
      </w:r>
      <w:r>
        <w:rPr>
          <w:rStyle w:val="FunctionTok"/>
        </w:rPr>
        <w:t xml:space="preserve">report_format</w:t>
      </w:r>
      <w:r>
        <w:rPr>
          <w:rStyle w:val="KeywordTok"/>
        </w:rPr>
        <w:t xml:space="preserve">:</w:t>
      </w:r>
      <w:r>
        <w:rPr>
          <w:rStyle w:val="AttributeTok"/>
        </w:rPr>
        <w:t xml:space="preserve"> </w:t>
      </w:r>
      <w:r>
        <w:rPr>
          <w:rStyle w:val="StringTok"/>
        </w:rPr>
        <w:t xml:space="preserve">"hipaa_safeguard_report"</w:t>
      </w:r>
      <w:r>
        <w:br/>
      </w:r>
      <w:r>
        <w:rPr>
          <w:rStyle w:val="AttributeTok"/>
        </w:rPr>
        <w:t xml:space="preserve">  </w:t>
      </w:r>
      <w:r>
        <w:rPr>
          <w:rStyle w:val="FunctionTok"/>
        </w:rPr>
        <w:t xml:space="preserve">scoring</w:t>
      </w:r>
      <w:r>
        <w:rPr>
          <w:rStyle w:val="KeywordTok"/>
        </w:rPr>
        <w:t xml:space="preserve">:</w:t>
      </w:r>
      <w:r>
        <w:rPr>
          <w:rStyle w:val="AttributeTok"/>
        </w:rPr>
        <w:t xml:space="preserve"> </w:t>
      </w:r>
      <w:r>
        <w:rPr>
          <w:rStyle w:val="StringTok"/>
        </w:rPr>
        <w:t xml:space="preserve">"equal_weight_per_category"</w:t>
      </w:r>
      <w:r>
        <w:br/>
      </w:r>
      <w:r>
        <w:br/>
      </w:r>
      <w:r>
        <w:rPr>
          <w:rStyle w:val="FunctionTok"/>
        </w:rPr>
        <w:t xml:space="preserve">controls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"164.308(a)(1)"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"Risk Analysis"</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"Administrative Safeguards"</w:t>
      </w:r>
      <w:r>
        <w:br/>
      </w:r>
      <w:r>
        <w:rPr>
          <w:rStyle w:val="AttributeTok"/>
        </w:rPr>
        <w:t xml:space="preserve">    </w:t>
      </w:r>
      <w:r>
        <w:rPr>
          <w:rStyle w:val="FunctionTok"/>
        </w:rPr>
        <w:t xml:space="preserve">test_type</w:t>
      </w:r>
      <w:r>
        <w:rPr>
          <w:rStyle w:val="KeywordTok"/>
        </w:rPr>
        <w:t xml:space="preserve">:</w:t>
      </w:r>
      <w:r>
        <w:rPr>
          <w:rStyle w:val="AttributeTok"/>
        </w:rPr>
        <w:t xml:space="preserve"> </w:t>
      </w:r>
      <w:r>
        <w:rPr>
          <w:rStyle w:val="StringTok"/>
        </w:rPr>
        <w:t xml:space="preserve">"config_check"</w:t>
      </w:r>
      <w:r>
        <w:rPr>
          <w:rStyle w:val="CommentTok"/>
        </w:rPr>
        <w:t xml:space="preserve">      # or "adversarial_probe" or "document_verify"</w:t>
      </w:r>
      <w:r>
        <w:br/>
      </w:r>
      <w:r>
        <w:rPr>
          <w:rStyle w:val="AttributeTok"/>
        </w:rPr>
        <w:t xml:space="preserve">    </w:t>
      </w:r>
      <w:r>
        <w:rPr>
          <w:rStyle w:val="FunctionTok"/>
        </w:rPr>
        <w:t xml:space="preserve">tier_minimum</w:t>
      </w:r>
      <w:r>
        <w:rPr>
          <w:rStyle w:val="KeywordTok"/>
        </w:rPr>
        <w:t xml:space="preserve">:</w:t>
      </w:r>
      <w:r>
        <w:rPr>
          <w:rStyle w:val="AttributeTok"/>
        </w:rPr>
        <w:t xml:space="preserve"> </w:t>
      </w:r>
      <w:r>
        <w:rPr>
          <w:rStyle w:val="DecValTok"/>
        </w:rPr>
        <w:t xml:space="preserve">2</w:t>
      </w:r>
      <w:r>
        <w:rPr>
          <w:rStyle w:val="CommentTok"/>
        </w:rPr>
        <w:t xml:space="preserve">                 # minimum tier needed to test this</w:t>
      </w:r>
      <w:r>
        <w:br/>
      </w:r>
      <w:r>
        <w:rPr>
          <w:rStyle w:val="AttributeTok"/>
        </w:rPr>
        <w:t xml:space="preserve">    </w:t>
      </w:r>
      <w:r>
        <w:rPr>
          <w:rStyle w:val="FunctionTok"/>
        </w:rPr>
        <w:t xml:space="preserve">pillar_tags</w:t>
      </w:r>
      <w:r>
        <w:rPr>
          <w:rStyle w:val="KeywordTok"/>
        </w:rPr>
        <w:t xml:space="preserve">:</w:t>
      </w:r>
      <w:r>
        <w:rPr>
          <w:rStyle w:val="AttributeTok"/>
        </w:rPr>
        <w:t xml:space="preserve"> </w:t>
      </w:r>
      <w:r>
        <w:rPr>
          <w:rStyle w:val="KeywordTok"/>
        </w:rPr>
        <w:t xml:space="preserve">[</w:t>
      </w:r>
      <w:r>
        <w:rPr>
          <w:rStyle w:val="StringTok"/>
        </w:rPr>
        <w:t xml:space="preserve">"governance"</w:t>
      </w:r>
      <w:r>
        <w:rPr>
          <w:rStyle w:val="KeywordTok"/>
        </w:rPr>
        <w:t xml:space="preserve">,</w:t>
      </w:r>
      <w:r>
        <w:rPr>
          <w:rStyle w:val="AttributeTok"/>
        </w:rPr>
        <w:t xml:space="preserve"> </w:t>
      </w:r>
      <w:r>
        <w:rPr>
          <w:rStyle w:val="StringTok"/>
        </w:rPr>
        <w:t xml:space="preserve">"compliance"</w:t>
      </w:r>
      <w:r>
        <w:rPr>
          <w:rStyle w:val="KeywordTok"/>
        </w:rPr>
        <w:t xml:space="preserv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probes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"api_check"</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"cloud_config"</w:t>
      </w:r>
      <w:r>
        <w:br/>
      </w:r>
      <w:r>
        <w:rPr>
          <w:rStyle w:val="AttributeTok"/>
        </w:rPr>
        <w:t xml:space="preserve">        </w:t>
      </w:r>
      <w:r>
        <w:rPr>
          <w:rStyle w:val="FunctionTok"/>
        </w:rPr>
        <w:t xml:space="preserve">check</w:t>
      </w:r>
      <w:r>
        <w:rPr>
          <w:rStyle w:val="KeywordTok"/>
        </w:rPr>
        <w:t xml:space="preserve">:</w:t>
      </w:r>
      <w:r>
        <w:rPr>
          <w:rStyle w:val="AttributeTok"/>
        </w:rPr>
        <w:t xml:space="preserve"> </w:t>
      </w:r>
      <w:r>
        <w:rPr>
          <w:rStyle w:val="StringTok"/>
        </w:rPr>
        <w:t xml:space="preserve">"risk_assessment_document_exists"</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"log_check"</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"monitoring"</w:t>
      </w:r>
      <w:r>
        <w:br/>
      </w:r>
      <w:r>
        <w:rPr>
          <w:rStyle w:val="AttributeTok"/>
        </w:rPr>
        <w:t xml:space="preserve">        </w:t>
      </w:r>
      <w:r>
        <w:rPr>
          <w:rStyle w:val="FunctionTok"/>
        </w:rPr>
        <w:t xml:space="preserve">check</w:t>
      </w:r>
      <w:r>
        <w:rPr>
          <w:rStyle w:val="KeywordTok"/>
        </w:rPr>
        <w:t xml:space="preserve">:</w:t>
      </w:r>
      <w:r>
        <w:rPr>
          <w:rStyle w:val="AttributeTok"/>
        </w:rPr>
        <w:t xml:space="preserve"> </w:t>
      </w:r>
      <w:r>
        <w:rPr>
          <w:rStyle w:val="StringTok"/>
        </w:rPr>
        <w:t xml:space="preserve">"risk_reviews_scheduled"</w:t>
      </w:r>
      <w:r>
        <w:br/>
      </w:r>
      <w:r>
        <w:rPr>
          <w:rStyle w:val="AttributeTok"/>
        </w:rPr>
        <w:t xml:space="preserve">    </w:t>
      </w:r>
      <w:r>
        <w:rPr>
          <w:rStyle w:val="FunctionTok"/>
        </w:rPr>
        <w:t xml:space="preserve">pass_criteria</w:t>
      </w:r>
      <w:r>
        <w:rPr>
          <w:rStyle w:val="KeywordTok"/>
        </w:rPr>
        <w:t xml:space="preserve">:</w:t>
      </w:r>
      <w:r>
        <w:rPr>
          <w:rStyle w:val="AttributeTok"/>
        </w:rPr>
        <w:t xml:space="preserve"> </w:t>
      </w:r>
      <w:r>
        <w:rPr>
          <w:rStyle w:val="StringTok"/>
        </w:rPr>
        <w:t xml:space="preserve">"all_probes_pass"</w:t>
      </w:r>
      <w:r>
        <w:br/>
      </w:r>
      <w:r>
        <w:rPr>
          <w:rStyle w:val="AttributeTok"/>
        </w:rPr>
        <w:t xml:space="preserve">    </w:t>
      </w:r>
      <w:r>
        <w:rPr>
          <w:rStyle w:val="FunctionTok"/>
        </w:rPr>
        <w:t xml:space="preserve">evidence_needed</w:t>
      </w:r>
      <w:r>
        <w:rPr>
          <w:rStyle w:val="KeywordTok"/>
        </w:rPr>
        <w:t xml:space="preserve">:</w:t>
      </w:r>
      <w:r>
        <w:rPr>
          <w:rStyle w:val="AttributeTok"/>
        </w:rPr>
        <w:t xml:space="preserve"> </w:t>
      </w:r>
      <w:r>
        <w:rPr>
          <w:rStyle w:val="StringTok"/>
        </w:rPr>
        <w:t xml:space="preserve">"risk_assessment_report, review_schedule"</w:t>
      </w:r>
      <w:r>
        <w:br/>
      </w:r>
      <w:r>
        <w:rPr>
          <w:rStyle w:val="AttributeTok"/>
        </w:rPr>
        <w:t xml:space="preserve">    </w:t>
      </w:r>
      <w:r>
        <w:rPr>
          <w:rStyle w:val="FunctionTok"/>
        </w:rPr>
        <w:t xml:space="preserve">remediation</w:t>
      </w:r>
      <w:r>
        <w:rPr>
          <w:rStyle w:val="KeywordTok"/>
        </w:rPr>
        <w:t xml:space="preserve">:</w:t>
      </w:r>
      <w:r>
        <w:rPr>
          <w:rStyle w:val="AttributeTok"/>
        </w:rPr>
        <w:t xml:space="preserve"> </w:t>
      </w:r>
      <w:r>
        <w:rPr>
          <w:rStyle w:val="StringTok"/>
        </w:rPr>
        <w:t xml:space="preserve">"Conduct formal risk analysis per NIST SP 800-30"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"164.312(a)(2)(iv)"</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"Encryption and Decryption"</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"Technical Safeguards"</w:t>
      </w:r>
      <w:r>
        <w:br/>
      </w:r>
      <w:r>
        <w:rPr>
          <w:rStyle w:val="AttributeTok"/>
        </w:rPr>
        <w:t xml:space="preserve">    </w:t>
      </w:r>
      <w:r>
        <w:rPr>
          <w:rStyle w:val="FunctionTok"/>
        </w:rPr>
        <w:t xml:space="preserve">test_type</w:t>
      </w:r>
      <w:r>
        <w:rPr>
          <w:rStyle w:val="KeywordTok"/>
        </w:rPr>
        <w:t xml:space="preserve">:</w:t>
      </w:r>
      <w:r>
        <w:rPr>
          <w:rStyle w:val="AttributeTok"/>
        </w:rPr>
        <w:t xml:space="preserve"> </w:t>
      </w:r>
      <w:r>
        <w:rPr>
          <w:rStyle w:val="StringTok"/>
        </w:rPr>
        <w:t xml:space="preserve">"config_check"</w:t>
      </w:r>
      <w:r>
        <w:br/>
      </w:r>
      <w:r>
        <w:rPr>
          <w:rStyle w:val="AttributeTok"/>
        </w:rPr>
        <w:t xml:space="preserve">    </w:t>
      </w:r>
      <w:r>
        <w:rPr>
          <w:rStyle w:val="FunctionTok"/>
        </w:rPr>
        <w:t xml:space="preserve">tier_minimum</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pillar_tags</w:t>
      </w:r>
      <w:r>
        <w:rPr>
          <w:rStyle w:val="KeywordTok"/>
        </w:rPr>
        <w:t xml:space="preserve">:</w:t>
      </w:r>
      <w:r>
        <w:rPr>
          <w:rStyle w:val="AttributeTok"/>
        </w:rPr>
        <w:t xml:space="preserve"> </w:t>
      </w:r>
      <w:r>
        <w:rPr>
          <w:rStyle w:val="KeywordTok"/>
        </w:rPr>
        <w:t xml:space="preserve">[</w:t>
      </w:r>
      <w:r>
        <w:rPr>
          <w:rStyle w:val="StringTok"/>
        </w:rPr>
        <w:t xml:space="preserve">"security"</w:t>
      </w:r>
      <w:r>
        <w:rPr>
          <w:rStyle w:val="KeywordTok"/>
        </w:rPr>
        <w:t xml:space="preserve">,</w:t>
      </w:r>
      <w:r>
        <w:rPr>
          <w:rStyle w:val="AttributeTok"/>
        </w:rPr>
        <w:t xml:space="preserve"> </w:t>
      </w:r>
      <w:r>
        <w:rPr>
          <w:rStyle w:val="StringTok"/>
        </w:rPr>
        <w:t xml:space="preserve">"data_protection"</w:t>
      </w:r>
      <w:r>
        <w:rPr>
          <w:rStyle w:val="KeywordTok"/>
        </w:rPr>
        <w:t xml:space="preserv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probes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"api_check"</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"cloud_config"</w:t>
      </w:r>
      <w:r>
        <w:br/>
      </w:r>
      <w:r>
        <w:rPr>
          <w:rStyle w:val="AttributeTok"/>
        </w:rPr>
        <w:t xml:space="preserve">        </w:t>
      </w:r>
      <w:r>
        <w:rPr>
          <w:rStyle w:val="FunctionTok"/>
        </w:rPr>
        <w:t xml:space="preserve">check</w:t>
      </w:r>
      <w:r>
        <w:rPr>
          <w:rStyle w:val="KeywordTok"/>
        </w:rPr>
        <w:t xml:space="preserve">:</w:t>
      </w:r>
      <w:r>
        <w:rPr>
          <w:rStyle w:val="AttributeTok"/>
        </w:rPr>
        <w:t xml:space="preserve"> </w:t>
      </w:r>
      <w:r>
        <w:rPr>
          <w:rStyle w:val="StringTok"/>
        </w:rPr>
        <w:t xml:space="preserve">"encryption_at_rest_enabled"</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"api_check"</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"network"</w:t>
      </w:r>
      <w:r>
        <w:br/>
      </w:r>
      <w:r>
        <w:rPr>
          <w:rStyle w:val="AttributeTok"/>
        </w:rPr>
        <w:t xml:space="preserve">        </w:t>
      </w:r>
      <w:r>
        <w:rPr>
          <w:rStyle w:val="FunctionTok"/>
        </w:rPr>
        <w:t xml:space="preserve">check</w:t>
      </w:r>
      <w:r>
        <w:rPr>
          <w:rStyle w:val="KeywordTok"/>
        </w:rPr>
        <w:t xml:space="preserve">:</w:t>
      </w:r>
      <w:r>
        <w:rPr>
          <w:rStyle w:val="AttributeTok"/>
        </w:rPr>
        <w:t xml:space="preserve"> </w:t>
      </w:r>
      <w:r>
        <w:rPr>
          <w:rStyle w:val="StringTok"/>
        </w:rPr>
        <w:t xml:space="preserve">"tls_1_2_or_higher"</w:t>
      </w:r>
      <w:r>
        <w:br/>
      </w:r>
      <w:r>
        <w:rPr>
          <w:rStyle w:val="AttributeTok"/>
        </w:rPr>
        <w:t xml:space="preserve">    </w:t>
      </w:r>
      <w:r>
        <w:rPr>
          <w:rStyle w:val="FunctionTok"/>
        </w:rPr>
        <w:t xml:space="preserve">pass_criteria</w:t>
      </w:r>
      <w:r>
        <w:rPr>
          <w:rStyle w:val="KeywordTok"/>
        </w:rPr>
        <w:t xml:space="preserve">:</w:t>
      </w:r>
      <w:r>
        <w:rPr>
          <w:rStyle w:val="AttributeTok"/>
        </w:rPr>
        <w:t xml:space="preserve"> </w:t>
      </w:r>
      <w:r>
        <w:rPr>
          <w:rStyle w:val="StringTok"/>
        </w:rPr>
        <w:t xml:space="preserve">"all_probes_pass"</w:t>
      </w:r>
      <w:r>
        <w:br/>
      </w:r>
      <w:r>
        <w:rPr>
          <w:rStyle w:val="AttributeTok"/>
        </w:rPr>
        <w:t xml:space="preserve">    </w:t>
      </w:r>
      <w:r>
        <w:rPr>
          <w:rStyle w:val="FunctionTok"/>
        </w:rPr>
        <w:t xml:space="preserve">evidence_needed</w:t>
      </w:r>
      <w:r>
        <w:rPr>
          <w:rStyle w:val="KeywordTok"/>
        </w:rPr>
        <w:t xml:space="preserve">:</w:t>
      </w:r>
      <w:r>
        <w:rPr>
          <w:rStyle w:val="AttributeTok"/>
        </w:rPr>
        <w:t xml:space="preserve"> </w:t>
      </w:r>
      <w:r>
        <w:rPr>
          <w:rStyle w:val="StringTok"/>
        </w:rPr>
        <w:t xml:space="preserve">"encryption_config_screenshot, TLS_cert_details"</w:t>
      </w:r>
      <w:r>
        <w:br/>
      </w:r>
      <w:r>
        <w:rPr>
          <w:rStyle w:val="AttributeTok"/>
        </w:rPr>
        <w:t xml:space="preserve">    </w:t>
      </w:r>
      <w:r>
        <w:rPr>
          <w:rStyle w:val="FunctionTok"/>
        </w:rPr>
        <w:t xml:space="preserve">remediation</w:t>
      </w:r>
      <w:r>
        <w:rPr>
          <w:rStyle w:val="KeywordTok"/>
        </w:rPr>
        <w:t xml:space="preserve">:</w:t>
      </w:r>
      <w:r>
        <w:rPr>
          <w:rStyle w:val="AttributeTok"/>
        </w:rPr>
        <w:t xml:space="preserve"> </w:t>
      </w:r>
      <w:r>
        <w:rPr>
          <w:rStyle w:val="StringTok"/>
        </w:rPr>
        <w:t xml:space="preserve">"Enable AES-256 encryption at rest, enforce TLS 1.2+"</w:t>
      </w:r>
    </w:p>
    <w:bookmarkEnd w:id="37"/>
    <w:bookmarkStart w:id="38" w:name="test-types"/>
    <w:p>
      <w:pPr>
        <w:pStyle w:val="Heading2"/>
      </w:pPr>
      <w:r>
        <w:t xml:space="preserve">7.2 Test Types</w:t>
      </w:r>
    </w:p>
    <w:tbl>
      <w:tblPr>
        <w:tblStyle w:val="Table"/>
        <w:tblW w:type="pct" w:w="5000"/>
        <w:tblLayout w:type="fixed"/>
        <w:tblLook w:firstRow="1" w:lastRow="0" w:firstColumn="0" w:lastColumn="0" w:noHBand="0" w:noVBand="0" w:val="0020"/>
      </w:tblPr>
      <w:tblGrid>
        <w:gridCol w:w="1815"/>
        <w:gridCol w:w="2145"/>
        <w:gridCol w:w="2475"/>
        <w:gridCol w:w="1485"/>
      </w:tblGrid>
      <w:tr>
        <w:trPr>
          <w:tblHeader w:val="on"/>
        </w:trPr>
        <w:tc>
          <w:tcPr/>
          <w:p>
            <w:pPr>
              <w:pStyle w:val="Compact"/>
            </w:pPr>
            <w:r>
              <w:t xml:space="preserve">Test Type</w:t>
            </w:r>
          </w:p>
        </w:tc>
        <w:tc>
          <w:tcPr/>
          <w:p>
            <w:pPr>
              <w:pStyle w:val="Compact"/>
            </w:pPr>
            <w:r>
              <w:t xml:space="preserve">How It Works</w:t>
            </w:r>
          </w:p>
        </w:tc>
        <w:tc>
          <w:tcPr/>
          <w:p>
            <w:pPr>
              <w:pStyle w:val="Compact"/>
            </w:pPr>
            <w:r>
              <w:t xml:space="preserve">Tier Required</w:t>
            </w:r>
          </w:p>
        </w:tc>
        <w:tc>
          <w:tcPr/>
          <w:p>
            <w:pPr>
              <w:pStyle w:val="Compact"/>
            </w:pPr>
            <w:r>
              <w:t xml:space="preserve">Example</w:t>
            </w:r>
          </w:p>
        </w:tc>
      </w:tr>
      <w:tr>
        <w:tc>
          <w:tcPr/>
          <w:p>
            <w:pPr>
              <w:pStyle w:val="Compact"/>
            </w:pPr>
            <w:r>
              <w:rPr>
                <w:b/>
                <w:bCs/>
              </w:rPr>
              <w:t xml:space="preserve">adversarial_probe</w:t>
            </w:r>
          </w:p>
        </w:tc>
        <w:tc>
          <w:tcPr/>
          <w:p>
            <w:pPr>
              <w:pStyle w:val="Compact"/>
            </w:pPr>
            <w:r>
              <w:t xml:space="preserve">Send crafted inputs to the chatbot API</w:t>
            </w:r>
          </w:p>
        </w:tc>
        <w:tc>
          <w:tcPr/>
          <w:p>
            <w:pPr>
              <w:pStyle w:val="Compact"/>
            </w:pPr>
            <w:r>
              <w:t xml:space="preserve">Tier 1+</w:t>
            </w:r>
          </w:p>
        </w:tc>
        <w:tc>
          <w:tcPr/>
          <w:p>
            <w:pPr>
              <w:pStyle w:val="Compact"/>
            </w:pPr>
            <w:r>
              <w:t xml:space="preserve">Prompt injection, data extraction attempts</w:t>
            </w:r>
          </w:p>
        </w:tc>
      </w:tr>
      <w:tr>
        <w:tc>
          <w:tcPr/>
          <w:p>
            <w:pPr>
              <w:pStyle w:val="Compact"/>
            </w:pPr>
            <w:r>
              <w:rPr>
                <w:b/>
                <w:bCs/>
              </w:rPr>
              <w:t xml:space="preserve">config_check</w:t>
            </w:r>
          </w:p>
        </w:tc>
        <w:tc>
          <w:tcPr/>
          <w:p>
            <w:pPr>
              <w:pStyle w:val="Compact"/>
            </w:pPr>
            <w:r>
              <w:t xml:space="preserve">Query infrastructure APIs for settings</w:t>
            </w:r>
          </w:p>
        </w:tc>
        <w:tc>
          <w:tcPr/>
          <w:p>
            <w:pPr>
              <w:pStyle w:val="Compact"/>
            </w:pPr>
            <w:r>
              <w:t xml:space="preserve">Tier 2+</w:t>
            </w:r>
          </w:p>
        </w:tc>
        <w:tc>
          <w:tcPr/>
          <w:p>
            <w:pPr>
              <w:pStyle w:val="Compact"/>
            </w:pPr>
            <w:r>
              <w:t xml:space="preserve">Check if encryption enabled, logs configured</w:t>
            </w:r>
          </w:p>
        </w:tc>
      </w:tr>
      <w:tr>
        <w:tc>
          <w:tcPr/>
          <w:p>
            <w:pPr>
              <w:pStyle w:val="Compact"/>
            </w:pPr>
            <w:r>
              <w:rPr>
                <w:b/>
                <w:bCs/>
              </w:rPr>
              <w:t xml:space="preserve">document_verify</w:t>
            </w:r>
          </w:p>
        </w:tc>
        <w:tc>
          <w:tcPr/>
          <w:p>
            <w:pPr>
              <w:pStyle w:val="Compact"/>
            </w:pPr>
            <w:r>
              <w:t xml:space="preserve">Check for existence/content of policies</w:t>
            </w:r>
          </w:p>
        </w:tc>
        <w:tc>
          <w:tcPr/>
          <w:p>
            <w:pPr>
              <w:pStyle w:val="Compact"/>
            </w:pPr>
            <w:r>
              <w:t xml:space="preserve">Tier 3 (or self-report at Tier 1)</w:t>
            </w:r>
          </w:p>
        </w:tc>
        <w:tc>
          <w:tcPr/>
          <w:p>
            <w:pPr>
              <w:pStyle w:val="Compact"/>
            </w:pPr>
            <w:r>
              <w:t xml:space="preserve">Model card exists, bias testing report filed</w:t>
            </w:r>
          </w:p>
        </w:tc>
      </w:tr>
    </w:tbl>
    <w:bookmarkEnd w:id="38"/>
    <w:bookmarkStart w:id="39" w:name="execution-via-langgraph"/>
    <w:p>
      <w:pPr>
        <w:pStyle w:val="Heading2"/>
      </w:pPr>
      <w:r>
        <w:t xml:space="preserve">7.3 Execution via LangGraph</w:t>
      </w:r>
    </w:p>
    <w:p>
      <w:pPr>
        <w:pStyle w:val="FirstParagraph"/>
      </w:pPr>
      <w:r>
        <w:t xml:space="preserve">Each standard’s evaluation is a LangGraph state machine:</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br/>
      </w:r>
      <w:r>
        <w:rPr>
          <w:rStyle w:val="KeywordTok"/>
        </w:rPr>
        <w:t xml:space="preserve">class</w:t>
      </w:r>
      <w:r>
        <w:rPr>
          <w:rStyle w:val="NormalTok"/>
        </w:rPr>
        <w:t xml:space="preserve"> StandardEvalState(TypedDict):</w:t>
      </w:r>
      <w:r>
        <w:br/>
      </w:r>
      <w:r>
        <w:rPr>
          <w:rStyle w:val="NormalTok"/>
        </w:rPr>
        <w:t xml:space="preserve">    standard_id: </w:t>
      </w:r>
      <w:r>
        <w:rPr>
          <w:rStyle w:val="BuiltInTok"/>
        </w:rPr>
        <w:t xml:space="preserve">str</w:t>
      </w:r>
      <w:r>
        <w:br/>
      </w:r>
      <w:r>
        <w:rPr>
          <w:rStyle w:val="NormalTok"/>
        </w:rPr>
        <w:t xml:space="preserve">    controls: </w:t>
      </w:r>
      <w:r>
        <w:rPr>
          <w:rStyle w:val="BuiltInTok"/>
        </w:rPr>
        <w:t xml:space="preserve">list</w:t>
      </w:r>
      <w:r>
        <w:rPr>
          <w:rStyle w:val="NormalTok"/>
        </w:rPr>
        <w:t xml:space="preserve">[Control]</w:t>
      </w:r>
      <w:r>
        <w:br/>
      </w:r>
      <w:r>
        <w:rPr>
          <w:rStyle w:val="NormalTok"/>
        </w:rPr>
        <w:t xml:space="preserve">    current_index: </w:t>
      </w:r>
      <w:r>
        <w:rPr>
          <w:rStyle w:val="BuiltInTok"/>
        </w:rPr>
        <w:t xml:space="preserve">int</w:t>
      </w:r>
      <w:r>
        <w:br/>
      </w:r>
      <w:r>
        <w:rPr>
          <w:rStyle w:val="NormalTok"/>
        </w:rPr>
        <w:t xml:space="preserve">    results: </w:t>
      </w:r>
      <w:r>
        <w:rPr>
          <w:rStyle w:val="BuiltInTok"/>
        </w:rPr>
        <w:t xml:space="preserve">list</w:t>
      </w:r>
      <w:r>
        <w:rPr>
          <w:rStyle w:val="NormalTok"/>
        </w:rPr>
        <w:t xml:space="preserve">[ControlResult]</w:t>
      </w:r>
      <w:r>
        <w:br/>
      </w:r>
      <w:r>
        <w:rPr>
          <w:rStyle w:val="NormalTok"/>
        </w:rPr>
        <w:t xml:space="preserve">    tier: </w:t>
      </w:r>
      <w:r>
        <w:rPr>
          <w:rStyle w:val="BuiltInTok"/>
        </w:rPr>
        <w:t xml:space="preserve">int</w:t>
      </w:r>
      <w:r>
        <w:br/>
      </w:r>
      <w:r>
        <w:rPr>
          <w:rStyle w:val="NormalTok"/>
        </w:rPr>
        <w:t xml:space="preserve">    credentials: </w:t>
      </w:r>
      <w:r>
        <w:rPr>
          <w:rStyle w:val="BuiltInTok"/>
        </w:rPr>
        <w:t xml:space="preserve">dict</w:t>
      </w:r>
      <w:r>
        <w:br/>
      </w:r>
      <w:r>
        <w:br/>
      </w:r>
      <w:r>
        <w:rPr>
          <w:rStyle w:val="KeywordTok"/>
        </w:rPr>
        <w:t xml:space="preserve">def</w:t>
      </w:r>
      <w:r>
        <w:rPr>
          <w:rStyle w:val="NormalTok"/>
        </w:rPr>
        <w:t xml:space="preserve"> load_controls(state):</w:t>
      </w:r>
      <w:r>
        <w:br/>
      </w:r>
      <w:r>
        <w:rPr>
          <w:rStyle w:val="NormalTok"/>
        </w:rPr>
        <w:t xml:space="preserve">    pack </w:t>
      </w:r>
      <w:r>
        <w:rPr>
          <w:rStyle w:val="OperatorTok"/>
        </w:rPr>
        <w:t xml:space="preserve">=</w:t>
      </w:r>
      <w:r>
        <w:rPr>
          <w:rStyle w:val="NormalTok"/>
        </w:rPr>
        <w:t xml:space="preserve"> load_yaml(</w:t>
      </w:r>
      <w:r>
        <w:rPr>
          <w:rStyle w:val="SpecialStringTok"/>
        </w:rPr>
        <w:t xml:space="preserve">f"control_packs/</w:t>
      </w:r>
      <w:r>
        <w:rPr>
          <w:rStyle w:val="SpecialCharTok"/>
        </w:rPr>
        <w:t xml:space="preserve">{</w:t>
      </w:r>
      <w:r>
        <w:rPr>
          <w:rStyle w:val="NormalTok"/>
        </w:rPr>
        <w:t xml:space="preserve">state[</w:t>
      </w:r>
      <w:r>
        <w:rPr>
          <w:rStyle w:val="StringTok"/>
        </w:rPr>
        <w:t xml:space="preserve">'standard_id'</w:t>
      </w:r>
      <w:r>
        <w:rPr>
          <w:rStyle w:val="NormalTok"/>
        </w:rPr>
        <w:t xml:space="preserve">]</w:t>
      </w:r>
      <w:r>
        <w:rPr>
          <w:rStyle w:val="SpecialCharTok"/>
        </w:rPr>
        <w:t xml:space="preserve">}</w:t>
      </w:r>
      <w:r>
        <w:rPr>
          <w:rStyle w:val="SpecialStringTok"/>
        </w:rPr>
        <w:t xml:space="preserve">.yaml"</w:t>
      </w:r>
      <w:r>
        <w:rPr>
          <w:rStyle w:val="NormalTok"/>
        </w:rPr>
        <w:t xml:space="preserve">)</w:t>
      </w:r>
      <w:r>
        <w:br/>
      </w:r>
      <w:r>
        <w:rPr>
          <w:rStyle w:val="NormalTok"/>
        </w:rPr>
        <w:t xml:space="preserve">    filtered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pack[</w:t>
      </w:r>
      <w:r>
        <w:rPr>
          <w:rStyle w:val="StringTok"/>
        </w:rPr>
        <w:t xml:space="preserve">'controls'</w:t>
      </w:r>
      <w:r>
        <w:rPr>
          <w:rStyle w:val="NormalTok"/>
        </w:rPr>
        <w:t xml:space="preserve">] </w:t>
      </w:r>
      <w:r>
        <w:rPr>
          <w:rStyle w:val="ControlFlowTok"/>
        </w:rPr>
        <w:t xml:space="preserve">if</w:t>
      </w:r>
      <w:r>
        <w:rPr>
          <w:rStyle w:val="NormalTok"/>
        </w:rPr>
        <w:t xml:space="preserve"> c[</w:t>
      </w:r>
      <w:r>
        <w:rPr>
          <w:rStyle w:val="StringTok"/>
        </w:rPr>
        <w:t xml:space="preserve">'tier_minimum'</w:t>
      </w:r>
      <w:r>
        <w:rPr>
          <w:rStyle w:val="NormalTok"/>
        </w:rPr>
        <w:t xml:space="preserve">] </w:t>
      </w:r>
      <w:r>
        <w:rPr>
          <w:rStyle w:val="OperatorTok"/>
        </w:rPr>
        <w:t xml:space="preserve">&lt;=</w:t>
      </w:r>
      <w:r>
        <w:rPr>
          <w:rStyle w:val="NormalTok"/>
        </w:rPr>
        <w:t xml:space="preserve"> state[</w:t>
      </w:r>
      <w:r>
        <w:rPr>
          <w:rStyle w:val="StringTok"/>
        </w:rPr>
        <w:t xml:space="preserve">'tier'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"controls"</w:t>
      </w:r>
      <w:r>
        <w:rPr>
          <w:rStyle w:val="NormalTok"/>
        </w:rPr>
        <w:t xml:space="preserve">: filtered, </w:t>
      </w:r>
      <w:r>
        <w:rPr>
          <w:rStyle w:val="StringTok"/>
        </w:rPr>
        <w:t xml:space="preserve">"current_index"</w:t>
      </w:r>
      <w:r>
        <w:rPr>
          <w:rStyle w:val="NormalTok"/>
        </w:rPr>
        <w:t xml:space="preserve">: </w:t>
      </w:r>
      <w:r>
        <w:rPr>
          <w:rStyle w:val="DecValTok"/>
        </w:rPr>
        <w:t xml:space="preserve">0</w:t>
      </w:r>
      <w:r>
        <w:rPr>
          <w:rStyle w:val="NormalTok"/>
        </w:rPr>
        <w:t xml:space="preserve">}</w:t>
      </w:r>
      <w:r>
        <w:br/>
      </w:r>
      <w:r>
        <w:br/>
      </w:r>
      <w:r>
        <w:rPr>
          <w:rStyle w:val="KeywordTok"/>
        </w:rPr>
        <w:t xml:space="preserve">def</w:t>
      </w:r>
      <w:r>
        <w:rPr>
          <w:rStyle w:val="NormalTok"/>
        </w:rPr>
        <w:t xml:space="preserve"> execute_control(state):</w:t>
      </w:r>
      <w:r>
        <w:br/>
      </w:r>
      <w:r>
        <w:rPr>
          <w:rStyle w:val="NormalTok"/>
        </w:rPr>
        <w:t xml:space="preserve">    control </w:t>
      </w:r>
      <w:r>
        <w:rPr>
          <w:rStyle w:val="OperatorTok"/>
        </w:rPr>
        <w:t xml:space="preserve">=</w:t>
      </w:r>
      <w:r>
        <w:rPr>
          <w:rStyle w:val="NormalTok"/>
        </w:rPr>
        <w:t xml:space="preserve"> state[</w:t>
      </w:r>
      <w:r>
        <w:rPr>
          <w:rStyle w:val="StringTok"/>
        </w:rPr>
        <w:t xml:space="preserve">'controls'</w:t>
      </w:r>
      <w:r>
        <w:rPr>
          <w:rStyle w:val="NormalTok"/>
        </w:rPr>
        <w:t xml:space="preserve">][state[</w:t>
      </w:r>
      <w:r>
        <w:rPr>
          <w:rStyle w:val="StringTok"/>
        </w:rPr>
        <w:t xml:space="preserve">'current_index'</w:t>
      </w:r>
      <w:r>
        <w:rPr>
          <w:rStyle w:val="NormalTok"/>
        </w:rPr>
        <w:t xml:space="preserve">]]</w:t>
      </w:r>
      <w:r>
        <w:br/>
      </w:r>
      <w:r>
        <w:rPr>
          <w:rStyle w:val="NormalTok"/>
        </w:rPr>
        <w:t xml:space="preserve">    result </w:t>
      </w:r>
      <w:r>
        <w:rPr>
          <w:rStyle w:val="OperatorTok"/>
        </w:rPr>
        <w:t xml:space="preserve">=</w:t>
      </w:r>
      <w:r>
        <w:rPr>
          <w:rStyle w:val="NormalTok"/>
        </w:rPr>
        <w:t xml:space="preserve"> run_probes(control, state[</w:t>
      </w:r>
      <w:r>
        <w:rPr>
          <w:rStyle w:val="StringTok"/>
        </w:rPr>
        <w:t xml:space="preserve">'credentials'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"results"</w:t>
      </w:r>
      <w:r>
        <w:rPr>
          <w:rStyle w:val="NormalTok"/>
        </w:rPr>
        <w:t xml:space="preserve">: state[</w:t>
      </w:r>
      <w:r>
        <w:rPr>
          <w:rStyle w:val="StringTok"/>
        </w:rPr>
        <w:t xml:space="preserve">'results'</w:t>
      </w:r>
      <w:r>
        <w:rPr>
          <w:rStyle w:val="NormalTok"/>
        </w:rPr>
        <w:t xml:space="preserve">] </w:t>
      </w:r>
      <w:r>
        <w:rPr>
          <w:rStyle w:val="OperatorTok"/>
        </w:rPr>
        <w:t xml:space="preserve">+</w:t>
      </w:r>
      <w:r>
        <w:rPr>
          <w:rStyle w:val="NormalTok"/>
        </w:rPr>
        <w:t xml:space="preserve"> [result],</w:t>
      </w:r>
      <w:r>
        <w:br/>
      </w:r>
      <w:r>
        <w:rPr>
          <w:rStyle w:val="NormalTok"/>
        </w:rPr>
        <w:t xml:space="preserve">        </w:t>
      </w:r>
      <w:r>
        <w:rPr>
          <w:rStyle w:val="StringTok"/>
        </w:rPr>
        <w:t xml:space="preserve">"current_index"</w:t>
      </w:r>
      <w:r>
        <w:rPr>
          <w:rStyle w:val="NormalTok"/>
        </w:rPr>
        <w:t xml:space="preserve">: state[</w:t>
      </w:r>
      <w:r>
        <w:rPr>
          <w:rStyle w:val="StringTok"/>
        </w:rPr>
        <w:t xml:space="preserve">'current_index'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br/>
      </w:r>
      <w:r>
        <w:rPr>
          <w:rStyle w:val="KeywordTok"/>
        </w:rPr>
        <w:t xml:space="preserve">def</w:t>
      </w:r>
      <w:r>
        <w:rPr>
          <w:rStyle w:val="NormalTok"/>
        </w:rPr>
        <w:t xml:space="preserve"> should_continue(state):</w:t>
      </w:r>
      <w:r>
        <w:br/>
      </w:r>
      <w:r>
        <w:rPr>
          <w:rStyle w:val="NormalTok"/>
        </w:rPr>
        <w:t xml:space="preserve">    </w:t>
      </w:r>
      <w:r>
        <w:rPr>
          <w:rStyle w:val="ControlFlowTok"/>
        </w:rPr>
        <w:t xml:space="preserve">if</w:t>
      </w:r>
      <w:r>
        <w:rPr>
          <w:rStyle w:val="NormalTok"/>
        </w:rPr>
        <w:t xml:space="preserve"> state[</w:t>
      </w:r>
      <w:r>
        <w:rPr>
          <w:rStyle w:val="StringTok"/>
        </w:rPr>
        <w:t xml:space="preserve">'current_index'</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(state[</w:t>
      </w:r>
      <w:r>
        <w:rPr>
          <w:rStyle w:val="StringTok"/>
        </w:rPr>
        <w:t xml:space="preserve">'controls'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"score"</w:t>
      </w:r>
      <w:r>
        <w:br/>
      </w:r>
      <w:r>
        <w:rPr>
          <w:rStyle w:val="NormalTok"/>
        </w:rPr>
        <w:t xml:space="preserve">    </w:t>
      </w:r>
      <w:r>
        <w:rPr>
          <w:rStyle w:val="ControlFlowTok"/>
        </w:rPr>
        <w:t xml:space="preserve">return</w:t>
      </w:r>
      <w:r>
        <w:rPr>
          <w:rStyle w:val="NormalTok"/>
        </w:rPr>
        <w:t xml:space="preserve"> </w:t>
      </w:r>
      <w:r>
        <w:rPr>
          <w:rStyle w:val="StringTok"/>
        </w:rPr>
        <w:t xml:space="preserve">"execute"</w:t>
      </w:r>
      <w:r>
        <w:br/>
      </w:r>
      <w:r>
        <w:br/>
      </w:r>
      <w:r>
        <w:rPr>
          <w:rStyle w:val="KeywordTok"/>
        </w:rPr>
        <w:t xml:space="preserve">def</w:t>
      </w:r>
      <w:r>
        <w:rPr>
          <w:rStyle w:val="NormalTok"/>
        </w:rPr>
        <w:t xml:space="preserve"> score_standard(state):</w:t>
      </w:r>
      <w:r>
        <w:br/>
      </w:r>
      <w:r>
        <w:rPr>
          <w:rStyle w:val="NormalTok"/>
        </w:rPr>
        <w:t xml:space="preserve">    weights </w:t>
      </w:r>
      <w:r>
        <w:rPr>
          <w:rStyle w:val="OperatorTok"/>
        </w:rPr>
        <w:t xml:space="preserve">=</w:t>
      </w:r>
      <w:r>
        <w:rPr>
          <w:rStyle w:val="NormalTok"/>
        </w:rPr>
        <w:t xml:space="preserve"> get_scoring_scheme(state[</w:t>
      </w:r>
      <w:r>
        <w:rPr>
          <w:rStyle w:val="StringTok"/>
        </w:rPr>
        <w:t xml:space="preserve">'standard_id'</w:t>
      </w:r>
      <w:r>
        <w:rPr>
          <w:rStyle w:val="NormalTok"/>
        </w:rPr>
        <w:t xml:space="preserve">])</w:t>
      </w:r>
      <w:r>
        <w:br/>
      </w:r>
      <w:r>
        <w:rPr>
          <w:rStyle w:val="NormalTok"/>
        </w:rPr>
        <w:t xml:space="preserve">    score </w:t>
      </w:r>
      <w:r>
        <w:rPr>
          <w:rStyle w:val="OperatorTok"/>
        </w:rPr>
        <w:t xml:space="preserve">=</w:t>
      </w:r>
      <w:r>
        <w:rPr>
          <w:rStyle w:val="NormalTok"/>
        </w:rPr>
        <w:t xml:space="preserve"> weighted_average(state[</w:t>
      </w:r>
      <w:r>
        <w:rPr>
          <w:rStyle w:val="StringTok"/>
        </w:rPr>
        <w:t xml:space="preserve">'results'</w:t>
      </w:r>
      <w:r>
        <w:rPr>
          <w:rStyle w:val="NormalTok"/>
        </w:rPr>
        <w:t xml:space="preserve">], weights)</w:t>
      </w:r>
      <w:r>
        <w:br/>
      </w:r>
      <w:r>
        <w:rPr>
          <w:rStyle w:val="NormalTok"/>
        </w:rPr>
        <w:t xml:space="preserve">    </w:t>
      </w:r>
      <w:r>
        <w:rPr>
          <w:rStyle w:val="ControlFlowTok"/>
        </w:rPr>
        <w:t xml:space="preserve">return</w:t>
      </w:r>
      <w:r>
        <w:rPr>
          <w:rStyle w:val="NormalTok"/>
        </w:rPr>
        <w:t xml:space="preserve"> {</w:t>
      </w:r>
      <w:r>
        <w:rPr>
          <w:rStyle w:val="StringTok"/>
        </w:rPr>
        <w:t xml:space="preserve">"final_score"</w:t>
      </w:r>
      <w:r>
        <w:rPr>
          <w:rStyle w:val="NormalTok"/>
        </w:rPr>
        <w:t xml:space="preserve">: score}</w:t>
      </w:r>
      <w:r>
        <w:br/>
      </w:r>
      <w:r>
        <w:br/>
      </w:r>
      <w:r>
        <w:rPr>
          <w:rStyle w:val="NormalTok"/>
        </w:rPr>
        <w:t xml:space="preserve">graph </w:t>
      </w:r>
      <w:r>
        <w:rPr>
          <w:rStyle w:val="OperatorTok"/>
        </w:rPr>
        <w:t xml:space="preserve">=</w:t>
      </w:r>
      <w:r>
        <w:rPr>
          <w:rStyle w:val="NormalTok"/>
        </w:rPr>
        <w:t xml:space="preserve"> StateGraph(StandardEvalState)</w:t>
      </w:r>
      <w:r>
        <w:br/>
      </w:r>
      <w:r>
        <w:rPr>
          <w:rStyle w:val="NormalTok"/>
        </w:rPr>
        <w:t xml:space="preserve">graph.add_node(</w:t>
      </w:r>
      <w:r>
        <w:rPr>
          <w:rStyle w:val="StringTok"/>
        </w:rPr>
        <w:t xml:space="preserve">"load"</w:t>
      </w:r>
      <w:r>
        <w:rPr>
          <w:rStyle w:val="NormalTok"/>
        </w:rPr>
        <w:t xml:space="preserve">, load_controls)</w:t>
      </w:r>
      <w:r>
        <w:br/>
      </w:r>
      <w:r>
        <w:rPr>
          <w:rStyle w:val="NormalTok"/>
        </w:rPr>
        <w:t xml:space="preserve">graph.add_node(</w:t>
      </w:r>
      <w:r>
        <w:rPr>
          <w:rStyle w:val="StringTok"/>
        </w:rPr>
        <w:t xml:space="preserve">"execute"</w:t>
      </w:r>
      <w:r>
        <w:rPr>
          <w:rStyle w:val="NormalTok"/>
        </w:rPr>
        <w:t xml:space="preserve">, execute_control)</w:t>
      </w:r>
      <w:r>
        <w:br/>
      </w:r>
      <w:r>
        <w:rPr>
          <w:rStyle w:val="NormalTok"/>
        </w:rPr>
        <w:t xml:space="preserve">graph.add_node(</w:t>
      </w:r>
      <w:r>
        <w:rPr>
          <w:rStyle w:val="StringTok"/>
        </w:rPr>
        <w:t xml:space="preserve">"score"</w:t>
      </w:r>
      <w:r>
        <w:rPr>
          <w:rStyle w:val="NormalTok"/>
        </w:rPr>
        <w:t xml:space="preserve">, score_standard)</w:t>
      </w:r>
      <w:r>
        <w:br/>
      </w:r>
      <w:r>
        <w:rPr>
          <w:rStyle w:val="NormalTok"/>
        </w:rPr>
        <w:t xml:space="preserve">graph.set_entry_point(</w:t>
      </w:r>
      <w:r>
        <w:rPr>
          <w:rStyle w:val="StringTok"/>
        </w:rPr>
        <w:t xml:space="preserve">"load"</w:t>
      </w:r>
      <w:r>
        <w:rPr>
          <w:rStyle w:val="NormalTok"/>
        </w:rPr>
        <w:t xml:space="preserve">)</w:t>
      </w:r>
      <w:r>
        <w:br/>
      </w:r>
      <w:r>
        <w:rPr>
          <w:rStyle w:val="NormalTok"/>
        </w:rPr>
        <w:t xml:space="preserve">graph.add_edge(</w:t>
      </w:r>
      <w:r>
        <w:rPr>
          <w:rStyle w:val="StringTok"/>
        </w:rPr>
        <w:t xml:space="preserve">"load"</w:t>
      </w:r>
      <w:r>
        <w:rPr>
          <w:rStyle w:val="NormalTok"/>
        </w:rPr>
        <w:t xml:space="preserve">, </w:t>
      </w:r>
      <w:r>
        <w:rPr>
          <w:rStyle w:val="StringTok"/>
        </w:rPr>
        <w:t xml:space="preserve">"execute"</w:t>
      </w:r>
      <w:r>
        <w:rPr>
          <w:rStyle w:val="NormalTok"/>
        </w:rPr>
        <w:t xml:space="preserve">)</w:t>
      </w:r>
      <w:r>
        <w:br/>
      </w:r>
      <w:r>
        <w:rPr>
          <w:rStyle w:val="NormalTok"/>
        </w:rPr>
        <w:t xml:space="preserve">graph.add_conditional_edges(</w:t>
      </w:r>
      <w:r>
        <w:rPr>
          <w:rStyle w:val="StringTok"/>
        </w:rPr>
        <w:t xml:space="preserve">"execute"</w:t>
      </w:r>
      <w:r>
        <w:rPr>
          <w:rStyle w:val="NormalTok"/>
        </w:rPr>
        <w:t xml:space="preserve">, should_continue)</w:t>
      </w:r>
      <w:r>
        <w:br/>
      </w:r>
      <w:r>
        <w:rPr>
          <w:rStyle w:val="NormalTok"/>
        </w:rPr>
        <w:t xml:space="preserve">graph.add_edge(</w:t>
      </w:r>
      <w:r>
        <w:rPr>
          <w:rStyle w:val="StringTok"/>
        </w:rPr>
        <w:t xml:space="preserve">"score"</w:t>
      </w:r>
      <w:r>
        <w:rPr>
          <w:rStyle w:val="NormalTok"/>
        </w:rPr>
        <w:t xml:space="preserve">, END)</w:t>
      </w:r>
    </w:p>
    <w:bookmarkEnd w:id="39"/>
    <w:bookmarkStart w:id="40" w:name="owasp-security-testing-always-included"/>
    <w:p>
      <w:pPr>
        <w:pStyle w:val="Heading2"/>
      </w:pPr>
      <w:r>
        <w:t xml:space="preserve">7.4 OWASP Security Testing (Always Included)</w:t>
      </w:r>
    </w:p>
    <w:p>
      <w:pPr>
        <w:pStyle w:val="FirstParagraph"/>
      </w:pPr>
      <w:r>
        <w:t xml:space="preserve">Regardless of which standards the user selects, OWASP LLM Top 10 security probes always run:</w:t>
      </w:r>
    </w:p>
    <w:tbl>
      <w:tblPr>
        <w:tblStyle w:val="Table"/>
        <w:tblW w:type="pct" w:w="5000"/>
        <w:tblLayout w:type="fixed"/>
        <w:tblLook w:firstRow="1" w:lastRow="0" w:firstColumn="0" w:lastColumn="0" w:noHBand="0" w:noVBand="0" w:val="0020"/>
      </w:tblPr>
      <w:tblGrid>
        <w:gridCol w:w="1650"/>
        <w:gridCol w:w="2310"/>
        <w:gridCol w:w="2145"/>
        <w:gridCol w:w="1815"/>
      </w:tblGrid>
      <w:tr>
        <w:trPr>
          <w:tblHeader w:val="on"/>
        </w:trPr>
        <w:tc>
          <w:tcPr/>
          <w:p>
            <w:pPr>
              <w:pStyle w:val="Compact"/>
            </w:pPr>
            <w:r>
              <w:t xml:space="preserve">OWASP ID</w:t>
            </w:r>
          </w:p>
        </w:tc>
        <w:tc>
          <w:tcPr/>
          <w:p>
            <w:pPr>
              <w:pStyle w:val="Compact"/>
            </w:pPr>
            <w:r>
              <w:t xml:space="preserve">Vulnerability</w:t>
            </w:r>
          </w:p>
        </w:tc>
        <w:tc>
          <w:tcPr/>
          <w:p>
            <w:pPr>
              <w:pStyle w:val="Compact"/>
            </w:pPr>
            <w:r>
              <w:t xml:space="preserve">Test Method</w:t>
            </w:r>
          </w:p>
        </w:tc>
        <w:tc>
          <w:tcPr/>
          <w:p>
            <w:pPr>
              <w:pStyle w:val="Compact"/>
            </w:pPr>
            <w:r>
              <w:t xml:space="preserve">Pillar Tag</w:t>
            </w:r>
          </w:p>
        </w:tc>
      </w:tr>
      <w:tr>
        <w:tc>
          <w:tcPr/>
          <w:p>
            <w:pPr>
              <w:pStyle w:val="Compact"/>
            </w:pPr>
            <w:r>
              <w:t xml:space="preserve">LLM01</w:t>
            </w:r>
          </w:p>
        </w:tc>
        <w:tc>
          <w:tcPr/>
          <w:p>
            <w:pPr>
              <w:pStyle w:val="Compact"/>
            </w:pPr>
            <w:r>
              <w:t xml:space="preserve">Prompt Injection</w:t>
            </w:r>
          </w:p>
        </w:tc>
        <w:tc>
          <w:tcPr/>
          <w:p>
            <w:pPr>
              <w:pStyle w:val="Compact"/>
            </w:pPr>
            <w:r>
              <w:t xml:space="preserve">Direct + indirect injection attempts</w:t>
            </w:r>
          </w:p>
        </w:tc>
        <w:tc>
          <w:tcPr/>
          <w:p>
            <w:pPr>
              <w:pStyle w:val="Compact"/>
            </w:pPr>
            <w:r>
              <w:t xml:space="preserve">Security</w:t>
            </w:r>
          </w:p>
        </w:tc>
      </w:tr>
      <w:tr>
        <w:tc>
          <w:tcPr/>
          <w:p>
            <w:pPr>
              <w:pStyle w:val="Compact"/>
            </w:pPr>
            <w:r>
              <w:t xml:space="preserve">LLM02</w:t>
            </w:r>
          </w:p>
        </w:tc>
        <w:tc>
          <w:tcPr/>
          <w:p>
            <w:pPr>
              <w:pStyle w:val="Compact"/>
            </w:pPr>
            <w:r>
              <w:t xml:space="preserve">Sensitive Info Disclosure</w:t>
            </w:r>
          </w:p>
        </w:tc>
        <w:tc>
          <w:tcPr/>
          <w:p>
            <w:pPr>
              <w:pStyle w:val="Compact"/>
            </w:pPr>
            <w:r>
              <w:t xml:space="preserve">PII extraction probes</w:t>
            </w:r>
          </w:p>
        </w:tc>
        <w:tc>
          <w:tcPr/>
          <w:p>
            <w:pPr>
              <w:pStyle w:val="Compact"/>
            </w:pPr>
            <w:r>
              <w:t xml:space="preserve">Security, Data Protection</w:t>
            </w:r>
          </w:p>
        </w:tc>
      </w:tr>
      <w:tr>
        <w:tc>
          <w:tcPr/>
          <w:p>
            <w:pPr>
              <w:pStyle w:val="Compact"/>
            </w:pPr>
            <w:r>
              <w:t xml:space="preserve">LLM03</w:t>
            </w:r>
          </w:p>
        </w:tc>
        <w:tc>
          <w:tcPr/>
          <w:p>
            <w:pPr>
              <w:pStyle w:val="Compact"/>
            </w:pPr>
            <w:r>
              <w:t xml:space="preserve">Training Data Poisoning</w:t>
            </w:r>
          </w:p>
        </w:tc>
        <w:tc>
          <w:tcPr/>
          <w:p>
            <w:pPr>
              <w:pStyle w:val="Compact"/>
            </w:pPr>
            <w:r>
              <w:t xml:space="preserve">RAG retrieval manipulation tests</w:t>
            </w:r>
          </w:p>
        </w:tc>
        <w:tc>
          <w:tcPr/>
          <w:p>
            <w:pPr>
              <w:pStyle w:val="Compact"/>
            </w:pPr>
            <w:r>
              <w:t xml:space="preserve">Security, Trust</w:t>
            </w:r>
          </w:p>
        </w:tc>
      </w:tr>
      <w:tr>
        <w:tc>
          <w:tcPr/>
          <w:p>
            <w:pPr>
              <w:pStyle w:val="Compact"/>
            </w:pPr>
            <w:r>
              <w:t xml:space="preserve">LLM04</w:t>
            </w:r>
          </w:p>
        </w:tc>
        <w:tc>
          <w:tcPr/>
          <w:p>
            <w:pPr>
              <w:pStyle w:val="Compact"/>
            </w:pPr>
            <w:r>
              <w:t xml:space="preserve">Model Denial of Service</w:t>
            </w:r>
          </w:p>
        </w:tc>
        <w:tc>
          <w:tcPr/>
          <w:p>
            <w:pPr>
              <w:pStyle w:val="Compact"/>
            </w:pPr>
            <w:r>
              <w:t xml:space="preserve">Resource exhaustion probes</w:t>
            </w:r>
          </w:p>
        </w:tc>
        <w:tc>
          <w:tcPr/>
          <w:p>
            <w:pPr>
              <w:pStyle w:val="Compact"/>
            </w:pPr>
            <w:r>
              <w:t xml:space="preserve">Security</w:t>
            </w:r>
          </w:p>
        </w:tc>
      </w:tr>
      <w:tr>
        <w:tc>
          <w:tcPr/>
          <w:p>
            <w:pPr>
              <w:pStyle w:val="Compact"/>
            </w:pPr>
            <w:r>
              <w:t xml:space="preserve">LLM05</w:t>
            </w:r>
          </w:p>
        </w:tc>
        <w:tc>
          <w:tcPr/>
          <w:p>
            <w:pPr>
              <w:pStyle w:val="Compact"/>
            </w:pPr>
            <w:r>
              <w:t xml:space="preserve">Insecure Output Handling</w:t>
            </w:r>
          </w:p>
        </w:tc>
        <w:tc>
          <w:tcPr/>
          <w:p>
            <w:pPr>
              <w:pStyle w:val="Compact"/>
            </w:pPr>
            <w:r>
              <w:t xml:space="preserve">XSS/injection in responses</w:t>
            </w:r>
          </w:p>
        </w:tc>
        <w:tc>
          <w:tcPr/>
          <w:p>
            <w:pPr>
              <w:pStyle w:val="Compact"/>
            </w:pPr>
            <w:r>
              <w:t xml:space="preserve">Security</w:t>
            </w:r>
          </w:p>
        </w:tc>
      </w:tr>
      <w:tr>
        <w:tc>
          <w:tcPr/>
          <w:p>
            <w:pPr>
              <w:pStyle w:val="Compact"/>
            </w:pPr>
            <w:r>
              <w:t xml:space="preserve">LLM06</w:t>
            </w:r>
          </w:p>
        </w:tc>
        <w:tc>
          <w:tcPr/>
          <w:p>
            <w:pPr>
              <w:pStyle w:val="Compact"/>
            </w:pPr>
            <w:r>
              <w:t xml:space="preserve">Excessive Agency</w:t>
            </w:r>
          </w:p>
        </w:tc>
        <w:tc>
          <w:tcPr/>
          <w:p>
            <w:pPr>
              <w:pStyle w:val="Compact"/>
            </w:pPr>
            <w:r>
              <w:t xml:space="preserve">Tool-use boundary tests</w:t>
            </w:r>
          </w:p>
        </w:tc>
        <w:tc>
          <w:tcPr/>
          <w:p>
            <w:pPr>
              <w:pStyle w:val="Compact"/>
            </w:pPr>
            <w:r>
              <w:t xml:space="preserve">Security, Governance</w:t>
            </w:r>
          </w:p>
        </w:tc>
      </w:tr>
      <w:tr>
        <w:tc>
          <w:tcPr/>
          <w:p>
            <w:pPr>
              <w:pStyle w:val="Compact"/>
            </w:pPr>
            <w:r>
              <w:t xml:space="preserve">LLM07</w:t>
            </w:r>
          </w:p>
        </w:tc>
        <w:tc>
          <w:tcPr/>
          <w:p>
            <w:pPr>
              <w:pStyle w:val="Compact"/>
            </w:pPr>
            <w:r>
              <w:t xml:space="preserve">System Prompt Leakage</w:t>
            </w:r>
          </w:p>
        </w:tc>
        <w:tc>
          <w:tcPr/>
          <w:p>
            <w:pPr>
              <w:pStyle w:val="Compact"/>
            </w:pPr>
            <w:r>
              <w:t xml:space="preserve">Extraction techniques</w:t>
            </w:r>
          </w:p>
        </w:tc>
        <w:tc>
          <w:tcPr/>
          <w:p>
            <w:pPr>
              <w:pStyle w:val="Compact"/>
            </w:pPr>
            <w:r>
              <w:t xml:space="preserve">Security</w:t>
            </w:r>
          </w:p>
        </w:tc>
      </w:tr>
      <w:tr>
        <w:tc>
          <w:tcPr/>
          <w:p>
            <w:pPr>
              <w:pStyle w:val="Compact"/>
            </w:pPr>
            <w:r>
              <w:t xml:space="preserve">LLM08</w:t>
            </w:r>
          </w:p>
        </w:tc>
        <w:tc>
          <w:tcPr/>
          <w:p>
            <w:pPr>
              <w:pStyle w:val="Compact"/>
            </w:pPr>
            <w:r>
              <w:t xml:space="preserve">Vector DB Poisoning</w:t>
            </w:r>
          </w:p>
        </w:tc>
        <w:tc>
          <w:tcPr/>
          <w:p>
            <w:pPr>
              <w:pStyle w:val="Compact"/>
            </w:pPr>
            <w:r>
              <w:t xml:space="preserve">Retrieval integrity checks</w:t>
            </w:r>
          </w:p>
        </w:tc>
        <w:tc>
          <w:tcPr/>
          <w:p>
            <w:pPr>
              <w:pStyle w:val="Compact"/>
            </w:pPr>
            <w:r>
              <w:t xml:space="preserve">Security, Trust</w:t>
            </w:r>
          </w:p>
        </w:tc>
      </w:tr>
    </w:tbl>
    <w:p>
      <w:pPr>
        <w:pStyle w:val="BodyText"/>
      </w:pPr>
      <w:r>
        <w:t xml:space="preserve">OWASP findings are</w:t>
      </w:r>
      <w:r>
        <w:t xml:space="preserve"> </w:t>
      </w:r>
      <w:r>
        <w:rPr>
          <w:b/>
          <w:bCs/>
        </w:rPr>
        <w:t xml:space="preserve">mapped to relevant controls</w:t>
      </w:r>
      <w:r>
        <w:t xml:space="preserve"> </w:t>
      </w:r>
      <w:r>
        <w:t xml:space="preserve">in whichever standards are selected via shared pillar tags. For example:</w:t>
      </w:r>
      <w:r>
        <w:t xml:space="preserve"> </w:t>
      </w:r>
      <w:r>
        <w:t xml:space="preserve">- A prompt injection finding (Security) maps to HIPAA 164.312(a)(1) Access Control (also Security)</w:t>
      </w:r>
      <w:r>
        <w:t xml:space="preserve"> </w:t>
      </w:r>
      <w:r>
        <w:t xml:space="preserve">- A data leakage finding (Security, Data Protection) maps to ISO 42001 A.6.2.7 Data Security</w:t>
      </w:r>
      <w:r>
        <w:t xml:space="preserve"> </w:t>
      </w:r>
      <w:r>
        <w:t xml:space="preserve">- If no selected standard covers that pillar area, the finding appears in a separate</w:t>
      </w:r>
      <w:r>
        <w:t xml:space="preserve"> </w:t>
      </w:r>
      <w:r>
        <w:t xml:space="preserve">“Security Findings”</w:t>
      </w:r>
      <w:r>
        <w:t xml:space="preserve"> </w:t>
      </w:r>
      <w:r>
        <w:t xml:space="preserve">appendix</w:t>
      </w:r>
    </w:p>
    <w:p>
      <w:r>
        <w:pict>
          <v:rect style="width:0;height:1.5pt" o:hralign="center" o:hrstd="t" o:hr="t"/>
        </w:pict>
      </w:r>
    </w:p>
    <w:bookmarkEnd w:id="40"/>
    <w:bookmarkEnd w:id="41"/>
    <w:bookmarkStart w:id="45" w:name="scoring-model"/>
    <w:p>
      <w:pPr>
        <w:pStyle w:val="Heading1"/>
      </w:pPr>
      <w:r>
        <w:t xml:space="preserve">8. Scoring Model</w:t>
      </w:r>
    </w:p>
    <w:bookmarkStart w:id="42" w:name="per-standard-scoring"/>
    <w:p>
      <w:pPr>
        <w:pStyle w:val="Heading2"/>
      </w:pPr>
      <w:r>
        <w:t xml:space="preserve">Per-Standard Scoring</w:t>
      </w:r>
    </w:p>
    <w:p>
      <w:pPr>
        <w:pStyle w:val="FirstParagraph"/>
      </w:pPr>
      <w:r>
        <w:t xml:space="preserve">Each standard uses its own native scoring scheme:</w:t>
      </w:r>
    </w:p>
    <w:tbl>
      <w:tblPr>
        <w:tblStyle w:val="Table"/>
        <w:tblW w:type="pct" w:w="5000"/>
        <w:tblLayout w:type="fixed"/>
        <w:tblLook w:firstRow="1" w:lastRow="0" w:firstColumn="0" w:lastColumn="0" w:noHBand="0" w:noVBand="0" w:val="0020"/>
      </w:tblPr>
      <w:tblGrid>
        <w:gridCol w:w="1931"/>
        <w:gridCol w:w="2897"/>
        <w:gridCol w:w="3090"/>
      </w:tblGrid>
      <w:tr>
        <w:trPr>
          <w:tblHeader w:val="on"/>
        </w:trPr>
        <w:tc>
          <w:tcPr/>
          <w:p>
            <w:pPr>
              <w:pStyle w:val="Compact"/>
            </w:pPr>
            <w:r>
              <w:t xml:space="preserve">Standard</w:t>
            </w:r>
          </w:p>
        </w:tc>
        <w:tc>
          <w:tcPr/>
          <w:p>
            <w:pPr>
              <w:pStyle w:val="Compact"/>
            </w:pPr>
            <w:r>
              <w:t xml:space="preserve">Scoring Method</w:t>
            </w:r>
          </w:p>
        </w:tc>
        <w:tc>
          <w:tcPr/>
          <w:p>
            <w:pPr>
              <w:pStyle w:val="Compact"/>
            </w:pPr>
            <w:r>
              <w:t xml:space="preserve">Pass Threshold</w:t>
            </w:r>
          </w:p>
        </w:tc>
      </w:tr>
      <w:tr>
        <w:tc>
          <w:tcPr/>
          <w:p>
            <w:pPr>
              <w:pStyle w:val="Compact"/>
            </w:pPr>
            <w:r>
              <w:t xml:space="preserve">HIPAA</w:t>
            </w:r>
          </w:p>
        </w:tc>
        <w:tc>
          <w:tcPr/>
          <w:p>
            <w:pPr>
              <w:pStyle w:val="Compact"/>
            </w:pPr>
            <w:r>
              <w:t xml:space="preserve">Equal weight per safeguard category (Admin/Tech/Physical)</w:t>
            </w:r>
          </w:p>
        </w:tc>
        <w:tc>
          <w:tcPr/>
          <w:p>
            <w:pPr>
              <w:pStyle w:val="Compact"/>
            </w:pPr>
            <w:r>
              <w:t xml:space="preserve">100% required (regulatory)</w:t>
            </w:r>
          </w:p>
        </w:tc>
      </w:tr>
      <w:tr>
        <w:tc>
          <w:tcPr/>
          <w:p>
            <w:pPr>
              <w:pStyle w:val="Compact"/>
            </w:pPr>
            <w:r>
              <w:t xml:space="preserve">ISO 42001</w:t>
            </w:r>
          </w:p>
        </w:tc>
        <w:tc>
          <w:tcPr/>
          <w:p>
            <w:pPr>
              <w:pStyle w:val="Compact"/>
            </w:pPr>
            <w:r>
              <w:t xml:space="preserve">Conformity levels: Conforms / Minor NC / Major NC / Not Assessed</w:t>
            </w:r>
          </w:p>
        </w:tc>
        <w:tc>
          <w:tcPr/>
          <w:p>
            <w:pPr>
              <w:pStyle w:val="Compact"/>
            </w:pPr>
            <w:r>
              <w:t xml:space="preserve">0 Major NC for certification</w:t>
            </w:r>
          </w:p>
        </w:tc>
      </w:tr>
      <w:tr>
        <w:tc>
          <w:tcPr/>
          <w:p>
            <w:pPr>
              <w:pStyle w:val="Compact"/>
            </w:pPr>
            <w:r>
              <w:t xml:space="preserve">NIST AI RMF</w:t>
            </w:r>
          </w:p>
        </w:tc>
        <w:tc>
          <w:tcPr/>
          <w:p>
            <w:pPr>
              <w:pStyle w:val="Compact"/>
            </w:pPr>
            <w:r>
              <w:t xml:space="preserve">Maturity levels 1-5 per function (Govern/Map/Measure/Manage)</w:t>
            </w:r>
          </w:p>
        </w:tc>
        <w:tc>
          <w:tcPr/>
          <w:p>
            <w:pPr>
              <w:pStyle w:val="Compact"/>
            </w:pPr>
            <w:r>
              <w:t xml:space="preserve">Level 3+ recommended</w:t>
            </w:r>
          </w:p>
        </w:tc>
      </w:tr>
      <w:tr>
        <w:tc>
          <w:tcPr/>
          <w:p>
            <w:pPr>
              <w:pStyle w:val="Compact"/>
            </w:pPr>
            <w:r>
              <w:t xml:space="preserve">EU AI Act</w:t>
            </w:r>
          </w:p>
        </w:tc>
        <w:tc>
          <w:tcPr/>
          <w:p>
            <w:pPr>
              <w:pStyle w:val="Compact"/>
            </w:pPr>
            <w:r>
              <w:t xml:space="preserve">Mandatory requirements checklist (pass/fail per article)</w:t>
            </w:r>
          </w:p>
        </w:tc>
        <w:tc>
          <w:tcPr/>
          <w:p>
            <w:pPr>
              <w:pStyle w:val="Compact"/>
            </w:pPr>
            <w:r>
              <w:t xml:space="preserve">100% for high-risk systems</w:t>
            </w:r>
          </w:p>
        </w:tc>
      </w:tr>
      <w:tr>
        <w:tc>
          <w:tcPr/>
          <w:p>
            <w:pPr>
              <w:pStyle w:val="Compact"/>
            </w:pPr>
            <w:r>
              <w:t xml:space="preserve">SOC 2</w:t>
            </w:r>
          </w:p>
        </w:tc>
        <w:tc>
          <w:tcPr/>
          <w:p>
            <w:pPr>
              <w:pStyle w:val="Compact"/>
            </w:pPr>
            <w:r>
              <w:t xml:space="preserve">Controls effective/not effective with exceptions noted</w:t>
            </w:r>
          </w:p>
        </w:tc>
        <w:tc>
          <w:tcPr/>
          <w:p>
            <w:pPr>
              <w:pStyle w:val="Compact"/>
            </w:pPr>
            <w:r>
              <w:t xml:space="preserve">All controls effective</w:t>
            </w:r>
          </w:p>
        </w:tc>
      </w:tr>
      <w:tr>
        <w:tc>
          <w:tcPr/>
          <w:p>
            <w:pPr>
              <w:pStyle w:val="Compact"/>
            </w:pPr>
            <w:r>
              <w:t xml:space="preserve">NYC LL144</w:t>
            </w:r>
          </w:p>
        </w:tc>
        <w:tc>
          <w:tcPr/>
          <w:p>
            <w:pPr>
              <w:pStyle w:val="Compact"/>
            </w:pPr>
            <w:r>
              <w:t xml:space="preserve">4/5ths rule for bias + disclosure requirements</w:t>
            </w:r>
          </w:p>
        </w:tc>
        <w:tc>
          <w:tcPr/>
          <w:p>
            <w:pPr>
              <w:pStyle w:val="Compact"/>
            </w:pPr>
            <w:r>
              <w:t xml:space="preserve">Statistical threshold</w:t>
            </w:r>
          </w:p>
        </w:tc>
      </w:tr>
    </w:tbl>
    <w:bookmarkEnd w:id="42"/>
    <w:bookmarkStart w:id="43" w:name="pillar-rollup-scoring"/>
    <w:p>
      <w:pPr>
        <w:pStyle w:val="Heading2"/>
      </w:pPr>
      <w:r>
        <w:t xml:space="preserve">Pillar Rollup Scoring</w:t>
      </w:r>
    </w:p>
    <w:p>
      <w:pPr>
        <w:pStyle w:val="FirstParagraph"/>
      </w:pPr>
      <w:r>
        <w:t xml:space="preserve">In addition to the native per-standard score, every assessment also produces a</w:t>
      </w:r>
      <w:r>
        <w:t xml:space="preserve"> </w:t>
      </w:r>
      <w:r>
        <w:rPr>
          <w:b/>
          <w:bCs/>
        </w:rPr>
        <w:t xml:space="preserve">5-pillar radar score</w:t>
      </w:r>
      <w:r>
        <w:t xml:space="preserve">, computed by averaging all tested controls (across all selected standards) that share each pillar tag. This is what powers the</w:t>
      </w:r>
      <w:r>
        <w:t xml:space="preserve"> </w:t>
      </w:r>
      <w:r>
        <w:t xml:space="preserve">“5-Pillar Radar Summary”</w:t>
      </w:r>
      <w:r>
        <w:t xml:space="preserve"> </w:t>
      </w:r>
      <w:r>
        <w:t xml:space="preserve">shown in every report package, regardless of which specific standards were evaluated.</w:t>
      </w:r>
    </w:p>
    <w:bookmarkEnd w:id="43"/>
    <w:bookmarkStart w:id="44" w:name="score-presentation"/>
    <w:p>
      <w:pPr>
        <w:pStyle w:val="Heading2"/>
      </w:pPr>
      <w:r>
        <w:t xml:space="preserve">Score Presentation</w:t>
      </w:r>
    </w:p>
    <w:p>
      <w:pPr>
        <w:pStyle w:val="FirstParagraph"/>
      </w:pPr>
      <w:r>
        <w:t xml:space="preserve">Each control result includes:</w:t>
      </w:r>
      <w:r>
        <w:t xml:space="preserve"> </w:t>
      </w:r>
      <w:r>
        <w:t xml:space="preserve">-</w:t>
      </w:r>
      <w:r>
        <w:t xml:space="preserve"> </w:t>
      </w:r>
      <w:r>
        <w:rPr>
          <w:b/>
          <w:bCs/>
        </w:rPr>
        <w:t xml:space="preserve">Status</w:t>
      </w:r>
      <w:r>
        <w:t xml:space="preserve">: Pass / Fail / Partial / Not Assessed</w:t>
      </w:r>
      <w:r>
        <w:t xml:space="preserve"> </w:t>
      </w:r>
      <w:r>
        <w:t xml:space="preserve">-</w:t>
      </w:r>
      <w:r>
        <w:t xml:space="preserve"> </w:t>
      </w:r>
      <w:r>
        <w:rPr>
          <w:b/>
          <w:bCs/>
        </w:rPr>
        <w:t xml:space="preserve">Score</w:t>
      </w:r>
      <w:r>
        <w:t xml:space="preserve">: 0.0 to 1.0 (for weighted calculation)</w:t>
      </w:r>
      <w:r>
        <w:t xml:space="preserve"> </w:t>
      </w:r>
      <w:r>
        <w:t xml:space="preserve">-</w:t>
      </w:r>
      <w:r>
        <w:t xml:space="preserve"> </w:t>
      </w:r>
      <w:r>
        <w:rPr>
          <w:b/>
          <w:bCs/>
        </w:rPr>
        <w:t xml:space="preserve">Confidence</w:t>
      </w:r>
      <w:r>
        <w:t xml:space="preserve">: How certain we are (lower if tier limits testing)</w:t>
      </w:r>
      <w:r>
        <w:t xml:space="preserve"> </w:t>
      </w:r>
      <w:r>
        <w:t xml:space="preserve">-</w:t>
      </w:r>
      <w:r>
        <w:t xml:space="preserve"> </w:t>
      </w:r>
      <w:r>
        <w:rPr>
          <w:b/>
          <w:bCs/>
        </w:rPr>
        <w:t xml:space="preserve">Evidence</w:t>
      </w:r>
      <w:r>
        <w:t xml:space="preserve">: What we observed/collected</w:t>
      </w:r>
      <w:r>
        <w:t xml:space="preserve"> </w:t>
      </w:r>
      <w:r>
        <w:t xml:space="preserve">-</w:t>
      </w:r>
      <w:r>
        <w:t xml:space="preserve"> </w:t>
      </w:r>
      <w:r>
        <w:rPr>
          <w:b/>
          <w:bCs/>
        </w:rPr>
        <w:t xml:space="preserve">Pillar Tag(s)</w:t>
      </w:r>
      <w:r>
        <w:t xml:space="preserve">: Which of the 5 pillars this control rolls up to</w:t>
      </w:r>
      <w:r>
        <w:t xml:space="preserve"> </w:t>
      </w:r>
      <w:r>
        <w:t xml:space="preserve">-</w:t>
      </w:r>
      <w:r>
        <w:t xml:space="preserve"> </w:t>
      </w:r>
      <w:r>
        <w:rPr>
          <w:b/>
          <w:bCs/>
        </w:rPr>
        <w:t xml:space="preserve">Remediation</w:t>
      </w:r>
      <w:r>
        <w:t xml:space="preserve">: Specific fix if failed</w:t>
      </w:r>
    </w:p>
    <w:p>
      <w:r>
        <w:pict>
          <v:rect style="width:0;height:1.5pt" o:hralign="center" o:hrstd="t" o:hr="t"/>
        </w:pict>
      </w:r>
    </w:p>
    <w:bookmarkEnd w:id="44"/>
    <w:bookmarkEnd w:id="45"/>
    <w:bookmarkStart w:id="48" w:name="report-generation"/>
    <w:p>
      <w:pPr>
        <w:pStyle w:val="Heading1"/>
      </w:pPr>
      <w:r>
        <w:t xml:space="preserve">9. Report Generation</w:t>
      </w:r>
    </w:p>
    <w:bookmarkStart w:id="46" w:name="per-standard-reports"/>
    <w:p>
      <w:pPr>
        <w:pStyle w:val="Heading2"/>
      </w:pPr>
      <w:r>
        <w:t xml:space="preserve">Per-Standard Reports</w:t>
      </w:r>
    </w:p>
    <w:p>
      <w:pPr>
        <w:pStyle w:val="FirstParagraph"/>
      </w:pPr>
      <w:r>
        <w:t xml:space="preserve">Each standard generates a report</w:t>
      </w:r>
      <w:r>
        <w:t xml:space="preserve"> </w:t>
      </w:r>
      <w:r>
        <w:rPr>
          <w:b/>
          <w:bCs/>
        </w:rPr>
        <w:t xml:space="preserve">in that standard’s native format</w:t>
      </w:r>
      <w:r>
        <w:t xml:space="preserve">:</w:t>
      </w:r>
    </w:p>
    <w:p>
      <w:pPr>
        <w:pStyle w:val="BodyText"/>
      </w:pPr>
      <w:r>
        <w:rPr>
          <w:b/>
          <w:bCs/>
        </w:rPr>
        <w:t xml:space="preserve">HIPAA Report Structure:</w:t>
      </w:r>
    </w:p>
    <w:p>
      <w:pPr>
        <w:pStyle w:val="SourceCode"/>
      </w:pPr>
      <w:r>
        <w:rPr>
          <w:rStyle w:val="VerbatimChar"/>
        </w:rPr>
        <w:t xml:space="preserve">1. Entity Information + Assessment Scope</w:t>
      </w:r>
      <w:r>
        <w:br/>
      </w:r>
      <w:r>
        <w:rPr>
          <w:rStyle w:val="VerbatimChar"/>
        </w:rPr>
        <w:t xml:space="preserve">2. Administrative Safeguards (45 CFR 164.308)</w:t>
      </w:r>
      <w:r>
        <w:br/>
      </w:r>
      <w:r>
        <w:rPr>
          <w:rStyle w:val="VerbatimChar"/>
        </w:rPr>
        <w:t xml:space="preserve">   - Each control: PASS/FAIL + evidence + remediation + pillar tag</w:t>
      </w:r>
      <w:r>
        <w:br/>
      </w:r>
      <w:r>
        <w:rPr>
          <w:rStyle w:val="VerbatimChar"/>
        </w:rPr>
        <w:t xml:space="preserve">3. Technical Safeguards (45 CFR 164.312)</w:t>
      </w:r>
      <w:r>
        <w:br/>
      </w:r>
      <w:r>
        <w:rPr>
          <w:rStyle w:val="VerbatimChar"/>
        </w:rPr>
        <w:t xml:space="preserve">   - Each control: PASS/FAIL + evidence + remediation + pillar tag</w:t>
      </w:r>
      <w:r>
        <w:br/>
      </w:r>
      <w:r>
        <w:rPr>
          <w:rStyle w:val="VerbatimChar"/>
        </w:rPr>
        <w:t xml:space="preserve">4. Physical Safeguards (45 CFR 164.310)</w:t>
      </w:r>
      <w:r>
        <w:br/>
      </w:r>
      <w:r>
        <w:rPr>
          <w:rStyle w:val="VerbatimChar"/>
        </w:rPr>
        <w:t xml:space="preserve">   - Each control: PASS/FAIL + evidence + remediation + pillar tag</w:t>
      </w:r>
      <w:r>
        <w:br/>
      </w:r>
      <w:r>
        <w:rPr>
          <w:rStyle w:val="VerbatimChar"/>
        </w:rPr>
        <w:t xml:space="preserve">5. Overall Compliance Status + Pillar Breakdown</w:t>
      </w:r>
      <w:r>
        <w:br/>
      </w:r>
      <w:r>
        <w:rPr>
          <w:rStyle w:val="VerbatimChar"/>
        </w:rPr>
        <w:t xml:space="preserve">6. Remediation Priority List</w:t>
      </w:r>
    </w:p>
    <w:p>
      <w:pPr>
        <w:pStyle w:val="FirstParagraph"/>
      </w:pPr>
      <w:r>
        <w:rPr>
          <w:b/>
          <w:bCs/>
        </w:rPr>
        <w:t xml:space="preserve">ISO 42001 Report Structure:</w:t>
      </w:r>
    </w:p>
    <w:p>
      <w:pPr>
        <w:pStyle w:val="SourceCode"/>
      </w:pPr>
      <w:r>
        <w:rPr>
          <w:rStyle w:val="VerbatimChar"/>
        </w:rPr>
        <w:t xml:space="preserve">1. Statement of Applicability</w:t>
      </w:r>
      <w:r>
        <w:br/>
      </w:r>
      <w:r>
        <w:rPr>
          <w:rStyle w:val="VerbatimChar"/>
        </w:rPr>
        <w:t xml:space="preserve">2. Clause 4-10 Conformity Assessment</w:t>
      </w:r>
      <w:r>
        <w:br/>
      </w:r>
      <w:r>
        <w:rPr>
          <w:rStyle w:val="VerbatimChar"/>
        </w:rPr>
        <w:t xml:space="preserve">3. Annex A Control Results (per control, with pillar tag)</w:t>
      </w:r>
      <w:r>
        <w:br/>
      </w:r>
      <w:r>
        <w:rPr>
          <w:rStyle w:val="VerbatimChar"/>
        </w:rPr>
        <w:t xml:space="preserve">4. Non-Conformities (Major/Minor)</w:t>
      </w:r>
      <w:r>
        <w:br/>
      </w:r>
      <w:r>
        <w:rPr>
          <w:rStyle w:val="VerbatimChar"/>
        </w:rPr>
        <w:t xml:space="preserve">5. Observations and Opportunities for Improvement</w:t>
      </w:r>
      <w:r>
        <w:br/>
      </w:r>
      <w:r>
        <w:rPr>
          <w:rStyle w:val="VerbatimChar"/>
        </w:rPr>
        <w:t xml:space="preserve">6. Certificate Readiness Assessment + Pillar Breakdown</w:t>
      </w:r>
    </w:p>
    <w:p>
      <w:pPr>
        <w:pStyle w:val="FirstParagraph"/>
      </w:pPr>
      <w:r>
        <w:rPr>
          <w:b/>
          <w:bCs/>
        </w:rPr>
        <w:t xml:space="preserve">NIST AI RMF Report Structure:</w:t>
      </w:r>
    </w:p>
    <w:p>
      <w:pPr>
        <w:pStyle w:val="SourceCode"/>
      </w:pPr>
      <w:r>
        <w:rPr>
          <w:rStyle w:val="VerbatimChar"/>
        </w:rPr>
        <w:t xml:space="preserve">1. AI System Profile</w:t>
      </w:r>
      <w:r>
        <w:br/>
      </w:r>
      <w:r>
        <w:rPr>
          <w:rStyle w:val="VerbatimChar"/>
        </w:rPr>
        <w:t xml:space="preserve">2. Govern Function Assessment (maturity levels)</w:t>
      </w:r>
      <w:r>
        <w:br/>
      </w:r>
      <w:r>
        <w:rPr>
          <w:rStyle w:val="VerbatimChar"/>
        </w:rPr>
        <w:t xml:space="preserve">3. Map Function Assessment (maturity levels)</w:t>
      </w:r>
      <w:r>
        <w:br/>
      </w:r>
      <w:r>
        <w:rPr>
          <w:rStyle w:val="VerbatimChar"/>
        </w:rPr>
        <w:t xml:space="preserve">4. Measure Function Assessment (maturity levels)</w:t>
      </w:r>
      <w:r>
        <w:br/>
      </w:r>
      <w:r>
        <w:rPr>
          <w:rStyle w:val="VerbatimChar"/>
        </w:rPr>
        <w:t xml:space="preserve">5. Manage Function Assessment (maturity levels)</w:t>
      </w:r>
      <w:r>
        <w:br/>
      </w:r>
      <w:r>
        <w:rPr>
          <w:rStyle w:val="VerbatimChar"/>
        </w:rPr>
        <w:t xml:space="preserve">6. Risk Summary + Recommended Actions</w:t>
      </w:r>
    </w:p>
    <w:bookmarkEnd w:id="46"/>
    <w:bookmarkStart w:id="47" w:name="cross-standard-insights-report"/>
    <w:p>
      <w:pPr>
        <w:pStyle w:val="Heading2"/>
      </w:pPr>
      <w:r>
        <w:t xml:space="preserve">Cross-Standard Insights Report</w:t>
      </w:r>
    </w:p>
    <w:p>
      <w:pPr>
        <w:pStyle w:val="FirstParagraph"/>
      </w:pPr>
      <w:r>
        <w:t xml:space="preserve">When 2+ standards are selected, an additional insights report is generated, built directly from shared pillar tags:</w:t>
      </w:r>
    </w:p>
    <w:p>
      <w:pPr>
        <w:pStyle w:val="SourceCode"/>
      </w:pPr>
      <w:r>
        <w:rPr>
          <w:rStyle w:val="VerbatimChar"/>
        </w:rPr>
        <w:t xml:space="preserve">CROSS-STANDARD INSIGHTS</w:t>
      </w:r>
      <w:r>
        <w:br/>
      </w:r>
      <w:r>
        <w:rPr>
          <w:rStyle w:val="VerbatimChar"/>
        </w:rPr>
        <w:t xml:space="preserve">========================</w:t>
      </w:r>
      <w:r>
        <w:br/>
      </w:r>
      <w:r>
        <w:rPr>
          <w:rStyle w:val="VerbatimChar"/>
        </w:rPr>
        <w:t xml:space="preserve">1. Shared Gaps (same pillar tag across standards - fix once, satisfy both):</w:t>
      </w:r>
      <w:r>
        <w:br/>
      </w:r>
      <w:r>
        <w:rPr>
          <w:rStyle w:val="VerbatimChar"/>
        </w:rPr>
        <w:t xml:space="preserve">   - Gap: No encryption at rest</w:t>
      </w:r>
      <w:r>
        <w:br/>
      </w:r>
      <w:r>
        <w:rPr>
          <w:rStyle w:val="VerbatimChar"/>
        </w:rPr>
        <w:t xml:space="preserve">     Affects: HIPAA 164.312(a)(2)(iv) + ISO A.6.2.7  [pillar: Security, Data Protection]</w:t>
      </w:r>
      <w:r>
        <w:br/>
      </w:r>
      <w:r>
        <w:rPr>
          <w:rStyle w:val="VerbatimChar"/>
        </w:rPr>
        <w:t xml:space="preserve">     Priority: CRITICAL (impacts both)</w:t>
      </w:r>
      <w:r>
        <w:br/>
      </w:r>
      <w:r>
        <w:rPr>
          <w:rStyle w:val="VerbatimChar"/>
        </w:rPr>
        <w:t xml:space="preserve">     Single Fix: Enable AES-256 on cloud storage</w:t>
      </w:r>
      <w:r>
        <w:br/>
      </w:r>
      <w:r>
        <w:br/>
      </w:r>
      <w:r>
        <w:rPr>
          <w:rStyle w:val="VerbatimChar"/>
        </w:rPr>
        <w:t xml:space="preserve">2. Standard-Specific Gaps:</w:t>
      </w:r>
      <w:r>
        <w:br/>
      </w:r>
      <w:r>
        <w:rPr>
          <w:rStyle w:val="VerbatimChar"/>
        </w:rPr>
        <w:t xml:space="preserve">   - HIPAA only: Missing BAA with cloud provider  [pillar: Compliance]</w:t>
      </w:r>
      <w:r>
        <w:br/>
      </w:r>
      <w:r>
        <w:rPr>
          <w:rStyle w:val="VerbatimChar"/>
        </w:rPr>
        <w:t xml:space="preserve">   - ISO only: No formal AI policy document  [pillar: Governance]</w:t>
      </w:r>
      <w:r>
        <w:br/>
      </w:r>
      <w:r>
        <w:br/>
      </w:r>
      <w:r>
        <w:rPr>
          <w:rStyle w:val="VerbatimChar"/>
        </w:rPr>
        <w:t xml:space="preserve">3. Priority Matrix:</w:t>
      </w:r>
      <w:r>
        <w:br/>
      </w:r>
      <w:r>
        <w:rPr>
          <w:rStyle w:val="VerbatimChar"/>
        </w:rPr>
        <w:t xml:space="preserve">   CRITICAL: 2 shared gaps</w:t>
      </w:r>
      <w:r>
        <w:br/>
      </w:r>
      <w:r>
        <w:rPr>
          <w:rStyle w:val="VerbatimChar"/>
        </w:rPr>
        <w:t xml:space="preserve">   HIGH: 1 HIPAA-specific</w:t>
      </w:r>
      <w:r>
        <w:br/>
      </w:r>
      <w:r>
        <w:rPr>
          <w:rStyle w:val="VerbatimChar"/>
        </w:rPr>
        <w:t xml:space="preserve">   MEDIUM: 3 ISO-specific (documentation)</w:t>
      </w:r>
      <w:r>
        <w:br/>
      </w:r>
      <w:r>
        <w:rPr>
          <w:rStyle w:val="VerbatimChar"/>
        </w:rPr>
        <w:t xml:space="preserve">   LOW: 1 ISO-specific (nice-to-have)</w:t>
      </w:r>
      <w:r>
        <w:br/>
      </w:r>
      <w:r>
        <w:br/>
      </w:r>
      <w:r>
        <w:rPr>
          <w:rStyle w:val="VerbatimChar"/>
        </w:rPr>
        <w:t xml:space="preserve">4. 5-Pillar Radar Summary:</w:t>
      </w:r>
      <w:r>
        <w:br/>
      </w:r>
      <w:r>
        <w:rPr>
          <w:rStyle w:val="VerbatimChar"/>
        </w:rPr>
        <w:t xml:space="preserve">   Trust: 74%  Security: 61%  Governance: 80%  Compliance: 88%  Data Protection: 65%</w:t>
      </w:r>
      <w:r>
        <w:br/>
      </w:r>
      <w:r>
        <w:br/>
      </w:r>
      <w:r>
        <w:rPr>
          <w:rStyle w:val="VerbatimChar"/>
        </w:rPr>
        <w:t xml:space="preserve">5. Effort Estimate:</w:t>
      </w:r>
      <w:r>
        <w:br/>
      </w:r>
      <w:r>
        <w:rPr>
          <w:rStyle w:val="VerbatimChar"/>
        </w:rPr>
        <w:t xml:space="preserve">   Fix shared gaps first = 2 standards improved simultaneously</w:t>
      </w:r>
      <w:r>
        <w:br/>
      </w:r>
      <w:r>
        <w:rPr>
          <w:rStyle w:val="VerbatimChar"/>
        </w:rPr>
        <w:t xml:space="preserve">   Total remediation items: 7</w:t>
      </w:r>
      <w:r>
        <w:br/>
      </w:r>
      <w:r>
        <w:rPr>
          <w:rStyle w:val="VerbatimChar"/>
        </w:rPr>
        <w:t xml:space="preserve">   Estimated effort: 3-4 weeks</w:t>
      </w:r>
    </w:p>
    <w:p>
      <w:r>
        <w:pict>
          <v:rect style="width:0;height:1.5pt" o:hralign="center" o:hrstd="t" o:hr="t"/>
        </w:pict>
      </w:r>
    </w:p>
    <w:bookmarkEnd w:id="47"/>
    <w:bookmarkEnd w:id="48"/>
    <w:bookmarkStart w:id="50" w:name="technical-stack"/>
    <w:p>
      <w:pPr>
        <w:pStyle w:val="Heading1"/>
      </w:pPr>
      <w:r>
        <w:t xml:space="preserve">10. Technical Stack</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Orchestration</w:t>
            </w:r>
          </w:p>
        </w:tc>
        <w:tc>
          <w:tcPr/>
          <w:p>
            <w:pPr>
              <w:pStyle w:val="Compact"/>
            </w:pPr>
            <w:r>
              <w:t xml:space="preserve">LangGraph (Python)</w:t>
            </w:r>
          </w:p>
        </w:tc>
        <w:tc>
          <w:tcPr/>
          <w:p>
            <w:pPr>
              <w:pStyle w:val="Compact"/>
            </w:pPr>
            <w:r>
              <w:t xml:space="preserve">State machine for evaluation flow</w:t>
            </w:r>
          </w:p>
        </w:tc>
      </w:tr>
      <w:tr>
        <w:tc>
          <w:tcPr/>
          <w:p>
            <w:pPr>
              <w:pStyle w:val="Compact"/>
            </w:pPr>
            <w:r>
              <w:rPr>
                <w:b/>
                <w:bCs/>
              </w:rPr>
              <w:t xml:space="preserve">API Server</w:t>
            </w:r>
          </w:p>
        </w:tc>
        <w:tc>
          <w:tcPr/>
          <w:p>
            <w:pPr>
              <w:pStyle w:val="Compact"/>
            </w:pPr>
            <w:r>
              <w:t xml:space="preserve">FastAPI</w:t>
            </w:r>
          </w:p>
        </w:tc>
        <w:tc>
          <w:tcPr/>
          <w:p>
            <w:pPr>
              <w:pStyle w:val="Compact"/>
            </w:pPr>
            <w:r>
              <w:t xml:space="preserve">REST endpoints + SSE streaming</w:t>
            </w:r>
          </w:p>
        </w:tc>
      </w:tr>
      <w:tr>
        <w:tc>
          <w:tcPr/>
          <w:p>
            <w:pPr>
              <w:pStyle w:val="Compact"/>
            </w:pPr>
            <w:r>
              <w:rPr>
                <w:b/>
                <w:bCs/>
              </w:rPr>
              <w:t xml:space="preserve">Control Packs</w:t>
            </w:r>
          </w:p>
        </w:tc>
        <w:tc>
          <w:tcPr/>
          <w:p>
            <w:pPr>
              <w:pStyle w:val="Compact"/>
            </w:pPr>
            <w:r>
              <w:t xml:space="preserve">YAML files</w:t>
            </w:r>
          </w:p>
        </w:tc>
        <w:tc>
          <w:tcPr/>
          <w:p>
            <w:pPr>
              <w:pStyle w:val="Compact"/>
            </w:pPr>
            <w:r>
              <w:t xml:space="preserve">Standard definitions (portable, version-controlled)</w:t>
            </w:r>
          </w:p>
        </w:tc>
      </w:tr>
      <w:tr>
        <w:tc>
          <w:tcPr/>
          <w:p>
            <w:pPr>
              <w:pStyle w:val="Compact"/>
            </w:pPr>
            <w:r>
              <w:rPr>
                <w:b/>
                <w:bCs/>
              </w:rPr>
              <w:t xml:space="preserve">Task Queue</w:t>
            </w:r>
          </w:p>
        </w:tc>
        <w:tc>
          <w:tcPr/>
          <w:p>
            <w:pPr>
              <w:pStyle w:val="Compact"/>
            </w:pPr>
            <w:r>
              <w:t xml:space="preserve">Celery + Redis</w:t>
            </w:r>
          </w:p>
        </w:tc>
        <w:tc>
          <w:tcPr/>
          <w:p>
            <w:pPr>
              <w:pStyle w:val="Compact"/>
            </w:pPr>
            <w:r>
              <w:t xml:space="preserve">Parallel standard evaluation</w:t>
            </w:r>
          </w:p>
        </w:tc>
      </w:tr>
      <w:tr>
        <w:tc>
          <w:tcPr/>
          <w:p>
            <w:pPr>
              <w:pStyle w:val="Compact"/>
            </w:pPr>
            <w:r>
              <w:rPr>
                <w:b/>
                <w:bCs/>
              </w:rPr>
              <w:t xml:space="preserve">Database</w:t>
            </w:r>
          </w:p>
        </w:tc>
        <w:tc>
          <w:tcPr/>
          <w:p>
            <w:pPr>
              <w:pStyle w:val="Compact"/>
            </w:pPr>
            <w:r>
              <w:t xml:space="preserve">PostgreSQL (Neon)</w:t>
            </w:r>
          </w:p>
        </w:tc>
        <w:tc>
          <w:tcPr/>
          <w:p>
            <w:pPr>
              <w:pStyle w:val="Compact"/>
            </w:pPr>
            <w:r>
              <w:t xml:space="preserve">Assessment results, history</w:t>
            </w:r>
          </w:p>
        </w:tc>
      </w:tr>
      <w:tr>
        <w:tc>
          <w:tcPr/>
          <w:p>
            <w:pPr>
              <w:pStyle w:val="Compact"/>
            </w:pPr>
            <w:r>
              <w:rPr>
                <w:b/>
                <w:bCs/>
              </w:rPr>
              <w:t xml:space="preserve">Cache</w:t>
            </w:r>
          </w:p>
        </w:tc>
        <w:tc>
          <w:tcPr/>
          <w:p>
            <w:pPr>
              <w:pStyle w:val="Compact"/>
            </w:pPr>
            <w:r>
              <w:t xml:space="preserve">Upstash Redis</w:t>
            </w:r>
          </w:p>
        </w:tc>
        <w:tc>
          <w:tcPr/>
          <w:p>
            <w:pPr>
              <w:pStyle w:val="Compact"/>
            </w:pPr>
            <w:r>
              <w:t xml:space="preserve">Rate limiting, session state</w:t>
            </w:r>
          </w:p>
        </w:tc>
      </w:tr>
      <w:tr>
        <w:tc>
          <w:tcPr/>
          <w:p>
            <w:pPr>
              <w:pStyle w:val="Compact"/>
            </w:pPr>
            <w:r>
              <w:rPr>
                <w:b/>
                <w:bCs/>
              </w:rPr>
              <w:t xml:space="preserve">LLM</w:t>
            </w:r>
          </w:p>
        </w:tc>
        <w:tc>
          <w:tcPr/>
          <w:p>
            <w:pPr>
              <w:pStyle w:val="Compact"/>
            </w:pPr>
            <w:r>
              <w:t xml:space="preserve">GPT-4o / Claude</w:t>
            </w:r>
          </w:p>
        </w:tc>
        <w:tc>
          <w:tcPr/>
          <w:p>
            <w:pPr>
              <w:pStyle w:val="Compact"/>
            </w:pPr>
            <w:r>
              <w:t xml:space="preserve">Probe generation, result analysis</w:t>
            </w:r>
          </w:p>
        </w:tc>
      </w:tr>
      <w:tr>
        <w:tc>
          <w:tcPr/>
          <w:p>
            <w:pPr>
              <w:pStyle w:val="Compact"/>
            </w:pPr>
            <w:r>
              <w:rPr>
                <w:b/>
                <w:bCs/>
              </w:rPr>
              <w:t xml:space="preserve">Frontend</w:t>
            </w:r>
          </w:p>
        </w:tc>
        <w:tc>
          <w:tcPr/>
          <w:p>
            <w:pPr>
              <w:pStyle w:val="Compact"/>
            </w:pPr>
            <w:r>
              <w:t xml:space="preserve">Next.js 14</w:t>
            </w:r>
          </w:p>
        </w:tc>
        <w:tc>
          <w:tcPr/>
          <w:p>
            <w:pPr>
              <w:pStyle w:val="Compact"/>
            </w:pPr>
            <w:r>
              <w:t xml:space="preserve">Input forms + live dashboard</w:t>
            </w:r>
          </w:p>
        </w:tc>
      </w:tr>
      <w:tr>
        <w:tc>
          <w:tcPr/>
          <w:p>
            <w:pPr>
              <w:pStyle w:val="Compact"/>
            </w:pPr>
            <w:r>
              <w:rPr>
                <w:b/>
                <w:bCs/>
              </w:rPr>
              <w:t xml:space="preserve">Streaming</w:t>
            </w:r>
          </w:p>
        </w:tc>
        <w:tc>
          <w:tcPr/>
          <w:p>
            <w:pPr>
              <w:pStyle w:val="Compact"/>
            </w:pPr>
            <w:r>
              <w:t xml:space="preserve">Server-Sent Events (SSE)</w:t>
            </w:r>
          </w:p>
        </w:tc>
        <w:tc>
          <w:tcPr/>
          <w:p>
            <w:pPr>
              <w:pStyle w:val="Compact"/>
            </w:pPr>
            <w:r>
              <w:t xml:space="preserve">Real-time progress to frontend</w:t>
            </w:r>
          </w:p>
        </w:tc>
      </w:tr>
      <w:tr>
        <w:tc>
          <w:tcPr/>
          <w:p>
            <w:pPr>
              <w:pStyle w:val="Compact"/>
            </w:pPr>
            <w:r>
              <w:rPr>
                <w:b/>
                <w:bCs/>
              </w:rPr>
              <w:t xml:space="preserve">Reports</w:t>
            </w:r>
          </w:p>
        </w:tc>
        <w:tc>
          <w:tcPr/>
          <w:p>
            <w:pPr>
              <w:pStyle w:val="Compact"/>
            </w:pPr>
            <w:r>
              <w:t xml:space="preserve">WeasyPrint + Jinja2</w:t>
            </w:r>
          </w:p>
        </w:tc>
        <w:tc>
          <w:tcPr/>
          <w:p>
            <w:pPr>
              <w:pStyle w:val="Compact"/>
            </w:pPr>
            <w:r>
              <w:t xml:space="preserve">PDF generation per standard</w:t>
            </w:r>
          </w:p>
        </w:tc>
      </w:tr>
    </w:tbl>
    <w:bookmarkStart w:id="49" w:name="backend-folder-structure"/>
    <w:p>
      <w:pPr>
        <w:pStyle w:val="Heading2"/>
      </w:pPr>
      <w:r>
        <w:t xml:space="preserve">Backend Folder Structure</w:t>
      </w:r>
    </w:p>
    <w:p>
      <w:pPr>
        <w:pStyle w:val="SourceCode"/>
      </w:pPr>
      <w:r>
        <w:rPr>
          <w:rStyle w:val="VerbatimChar"/>
        </w:rPr>
        <w:t xml:space="preserve">backend/</w:t>
      </w:r>
      <w:r>
        <w:br/>
      </w:r>
      <w:r>
        <w:rPr>
          <w:rStyle w:val="VerbatimChar"/>
        </w:rPr>
        <w:t xml:space="preserve">  app/</w:t>
      </w:r>
      <w:r>
        <w:br/>
      </w:r>
      <w:r>
        <w:rPr>
          <w:rStyle w:val="VerbatimChar"/>
        </w:rPr>
        <w:t xml:space="preserve">    main.py                    # FastAPI app + SSE endpoints</w:t>
      </w:r>
      <w:r>
        <w:br/>
      </w:r>
      <w:r>
        <w:rPr>
          <w:rStyle w:val="VerbatimChar"/>
        </w:rPr>
        <w:t xml:space="preserve">    models/                    # Pydantic schemas</w:t>
      </w:r>
      <w:r>
        <w:br/>
      </w:r>
      <w:r>
        <w:rPr>
          <w:rStyle w:val="VerbatimChar"/>
        </w:rPr>
        <w:t xml:space="preserve">    routers/</w:t>
      </w:r>
      <w:r>
        <w:br/>
      </w:r>
      <w:r>
        <w:rPr>
          <w:rStyle w:val="VerbatimChar"/>
        </w:rPr>
        <w:t xml:space="preserve">      assessments.py           # Start/status/results endpoints</w:t>
      </w:r>
      <w:r>
        <w:br/>
      </w:r>
      <w:r>
        <w:rPr>
          <w:rStyle w:val="VerbatimChar"/>
        </w:rPr>
        <w:t xml:space="preserve">      standards.py             # List standards per industry</w:t>
      </w:r>
      <w:r>
        <w:br/>
      </w:r>
      <w:r>
        <w:rPr>
          <w:rStyle w:val="VerbatimChar"/>
        </w:rPr>
        <w:t xml:space="preserve">    engine/</w:t>
      </w:r>
      <w:r>
        <w:br/>
      </w:r>
      <w:r>
        <w:rPr>
          <w:rStyle w:val="VerbatimChar"/>
        </w:rPr>
        <w:t xml:space="preserve">      orchestrator.py          # LangGraph coordinator</w:t>
      </w:r>
      <w:r>
        <w:br/>
      </w:r>
      <w:r>
        <w:rPr>
          <w:rStyle w:val="VerbatimChar"/>
        </w:rPr>
        <w:t xml:space="preserve">      standard_eval.py         # Per-standard evaluation engine</w:t>
      </w:r>
      <w:r>
        <w:br/>
      </w:r>
      <w:r>
        <w:rPr>
          <w:rStyle w:val="VerbatimChar"/>
        </w:rPr>
        <w:t xml:space="preserve">      probe_runner.py          # Execute individual probes</w:t>
      </w:r>
      <w:r>
        <w:br/>
      </w:r>
      <w:r>
        <w:rPr>
          <w:rStyle w:val="VerbatimChar"/>
        </w:rPr>
        <w:t xml:space="preserve">      owasp_runner.py          # OWASP LLM Top 10 tests</w:t>
      </w:r>
      <w:r>
        <w:br/>
      </w:r>
      <w:r>
        <w:rPr>
          <w:rStyle w:val="VerbatimChar"/>
        </w:rPr>
        <w:t xml:space="preserve">      scoring.py               # Per-standard + pillar rollup scoring</w:t>
      </w:r>
      <w:r>
        <w:br/>
      </w:r>
      <w:r>
        <w:rPr>
          <w:rStyle w:val="VerbatimChar"/>
        </w:rPr>
        <w:t xml:space="preserve">      pillar_mapper.py         # Cross-standard shared-gap detection</w:t>
      </w:r>
      <w:r>
        <w:br/>
      </w:r>
      <w:r>
        <w:rPr>
          <w:rStyle w:val="VerbatimChar"/>
        </w:rPr>
        <w:t xml:space="preserve">    control_packs/</w:t>
      </w:r>
      <w:r>
        <w:br/>
      </w:r>
      <w:r>
        <w:rPr>
          <w:rStyle w:val="VerbatimChar"/>
        </w:rPr>
        <w:t xml:space="preserve">      hipaa.yaml</w:t>
      </w:r>
      <w:r>
        <w:br/>
      </w:r>
      <w:r>
        <w:rPr>
          <w:rStyle w:val="VerbatimChar"/>
        </w:rPr>
        <w:t xml:space="preserve">      iso42001.yaml</w:t>
      </w:r>
      <w:r>
        <w:br/>
      </w:r>
      <w:r>
        <w:rPr>
          <w:rStyle w:val="VerbatimChar"/>
        </w:rPr>
        <w:t xml:space="preserve">      nist_ai_rmf.yaml</w:t>
      </w:r>
      <w:r>
        <w:br/>
      </w:r>
      <w:r>
        <w:rPr>
          <w:rStyle w:val="VerbatimChar"/>
        </w:rPr>
        <w:t xml:space="preserve">      eu_ai_act.yaml</w:t>
      </w:r>
      <w:r>
        <w:br/>
      </w:r>
      <w:r>
        <w:rPr>
          <w:rStyle w:val="VerbatimChar"/>
        </w:rPr>
        <w:t xml:space="preserve">      soc2.yaml</w:t>
      </w:r>
      <w:r>
        <w:br/>
      </w:r>
      <w:r>
        <w:rPr>
          <w:rStyle w:val="VerbatimChar"/>
        </w:rPr>
        <w:t xml:space="preserve">      nyc_ll144.yaml</w:t>
      </w:r>
      <w:r>
        <w:br/>
      </w:r>
      <w:r>
        <w:rPr>
          <w:rStyle w:val="VerbatimChar"/>
        </w:rPr>
        <w:t xml:space="preserve">      mas_ai.yaml</w:t>
      </w:r>
      <w:r>
        <w:br/>
      </w:r>
      <w:r>
        <w:rPr>
          <w:rStyle w:val="VerbatimChar"/>
        </w:rPr>
        <w:t xml:space="preserve">      ... (one per standard)</w:t>
      </w:r>
      <w:r>
        <w:br/>
      </w:r>
      <w:r>
        <w:rPr>
          <w:rStyle w:val="VerbatimChar"/>
        </w:rPr>
        <w:t xml:space="preserve">    connectors/</w:t>
      </w:r>
      <w:r>
        <w:br/>
      </w:r>
      <w:r>
        <w:rPr>
          <w:rStyle w:val="VerbatimChar"/>
        </w:rPr>
        <w:t xml:space="preserve">      aws.py                   # AWS config reader</w:t>
      </w:r>
      <w:r>
        <w:br/>
      </w:r>
      <w:r>
        <w:rPr>
          <w:rStyle w:val="VerbatimChar"/>
        </w:rPr>
        <w:t xml:space="preserve">      gcp.py                   # GCP config reader</w:t>
      </w:r>
      <w:r>
        <w:br/>
      </w:r>
      <w:r>
        <w:rPr>
          <w:rStyle w:val="VerbatimChar"/>
        </w:rPr>
        <w:t xml:space="preserve">      azure.py                 # Azure config reader</w:t>
      </w:r>
      <w:r>
        <w:br/>
      </w:r>
      <w:r>
        <w:rPr>
          <w:rStyle w:val="VerbatimChar"/>
        </w:rPr>
        <w:t xml:space="preserve">      datadog.py               # Monitoring API</w:t>
      </w:r>
      <w:r>
        <w:br/>
      </w:r>
      <w:r>
        <w:rPr>
          <w:rStyle w:val="VerbatimChar"/>
        </w:rPr>
        <w:t xml:space="preserve">      github.py                # CI/CD + source access</w:t>
      </w:r>
      <w:r>
        <w:br/>
      </w:r>
      <w:r>
        <w:rPr>
          <w:rStyle w:val="VerbatimChar"/>
        </w:rPr>
        <w:t xml:space="preserve">    reports/</w:t>
      </w:r>
      <w:r>
        <w:br/>
      </w:r>
      <w:r>
        <w:rPr>
          <w:rStyle w:val="VerbatimChar"/>
        </w:rPr>
        <w:t xml:space="preserve">      templates/               # Jinja2 templates per standard</w:t>
      </w:r>
      <w:r>
        <w:br/>
      </w:r>
      <w:r>
        <w:rPr>
          <w:rStyle w:val="VerbatimChar"/>
        </w:rPr>
        <w:t xml:space="preserve">      generator.py             # PDF/DOCX report builder</w:t>
      </w:r>
      <w:r>
        <w:br/>
      </w:r>
      <w:r>
        <w:rPr>
          <w:rStyle w:val="VerbatimChar"/>
        </w:rPr>
        <w:t xml:space="preserve">      cross_insights.py        # Multi-standard gap analysis</w:t>
      </w:r>
    </w:p>
    <w:p>
      <w:r>
        <w:pict>
          <v:rect style="width:0;height:1.5pt" o:hralign="center" o:hrstd="t" o:hr="t"/>
        </w:pict>
      </w:r>
    </w:p>
    <w:bookmarkEnd w:id="49"/>
    <w:bookmarkEnd w:id="50"/>
    <w:bookmarkStart w:id="57" w:name="frontend-overview"/>
    <w:p>
      <w:pPr>
        <w:pStyle w:val="Heading1"/>
      </w:pPr>
      <w:r>
        <w:t xml:space="preserve">11. Frontend Overview</w:t>
      </w:r>
    </w:p>
    <w:p>
      <w:pPr>
        <w:pStyle w:val="CaptionedFigure"/>
      </w:pPr>
      <w:r>
        <w:drawing>
          <wp:inline>
            <wp:extent cx="5943600" cy="3467100"/>
            <wp:effectExtent b="0" l="0" r="0" t="0"/>
            <wp:docPr descr="Frontend Panels" title="" id="52" name="Picture"/>
            <a:graphic>
              <a:graphicData uri="http://schemas.openxmlformats.org/drawingml/2006/picture">
                <pic:pic>
                  <pic:nvPicPr>
                    <pic:cNvPr descr="diagrams/png/frontend_panels.png" id="53" name="Picture"/>
                    <pic:cNvPicPr>
                      <a:picLocks noChangeArrowheads="1" noChangeAspect="1"/>
                    </pic:cNvPicPr>
                  </pic:nvPicPr>
                  <pic:blipFill>
                    <a:blip r:embed="rId51"/>
                    <a:stretch>
                      <a:fillRect/>
                    </a:stretch>
                  </pic:blipFill>
                  <pic:spPr bwMode="auto">
                    <a:xfrm>
                      <a:off x="0" y="0"/>
                      <a:ext cx="5943600" cy="3467100"/>
                    </a:xfrm>
                    <a:prstGeom prst="rect">
                      <a:avLst/>
                    </a:prstGeom>
                    <a:noFill/>
                    <a:ln w="9525">
                      <a:noFill/>
                      <a:headEnd/>
                      <a:tailEnd/>
                    </a:ln>
                  </pic:spPr>
                </pic:pic>
              </a:graphicData>
            </a:graphic>
          </wp:inline>
        </w:drawing>
      </w:r>
    </w:p>
    <w:p>
      <w:pPr>
        <w:pStyle w:val="ImageCaption"/>
      </w:pPr>
      <w:r>
        <w:t xml:space="preserve">Frontend Panels</w:t>
      </w:r>
    </w:p>
    <w:bookmarkStart w:id="54" w:name="input-panel"/>
    <w:p>
      <w:pPr>
        <w:pStyle w:val="Heading2"/>
      </w:pPr>
      <w:r>
        <w:t xml:space="preserve">Input Panel</w:t>
      </w:r>
    </w:p>
    <w:p>
      <w:pPr>
        <w:pStyle w:val="FirstParagraph"/>
      </w:pPr>
      <w:r>
        <w:t xml:space="preserve">The frontend collects:</w:t>
      </w:r>
    </w:p>
    <w:p>
      <w:pPr>
        <w:pStyle w:val="Compact"/>
        <w:numPr>
          <w:ilvl w:val="0"/>
          <w:numId w:val="1004"/>
        </w:numPr>
      </w:pPr>
      <w:r>
        <w:rPr>
          <w:b/>
          <w:bCs/>
        </w:rPr>
        <w:t xml:space="preserve">Industry Selection</w:t>
      </w:r>
      <w:r>
        <w:t xml:space="preserve"> </w:t>
      </w:r>
      <w:r>
        <w:t xml:space="preserve">- Dropdown with 10 industries</w:t>
      </w:r>
    </w:p>
    <w:p>
      <w:pPr>
        <w:pStyle w:val="Compact"/>
        <w:numPr>
          <w:ilvl w:val="0"/>
          <w:numId w:val="1004"/>
        </w:numPr>
      </w:pPr>
      <w:r>
        <w:rPr>
          <w:b/>
          <w:bCs/>
        </w:rPr>
        <w:t xml:space="preserve">Standard Selection</w:t>
      </w:r>
      <w:r>
        <w:t xml:space="preserve"> </w:t>
      </w:r>
      <w:r>
        <w:t xml:space="preserve">- Checkboxes (1-3), dynamically pre-populated with the most popular standards for the selected industry. Each recommended standard shows a tooltip explaining why it’s recommended (mandatory / certifiable / methodological)</w:t>
      </w:r>
    </w:p>
    <w:p>
      <w:pPr>
        <w:pStyle w:val="Compact"/>
        <w:numPr>
          <w:ilvl w:val="0"/>
          <w:numId w:val="1004"/>
        </w:numPr>
      </w:pPr>
      <w:r>
        <w:rPr>
          <w:b/>
          <w:bCs/>
        </w:rPr>
        <w:t xml:space="preserve">Tier Selection</w:t>
      </w:r>
      <w:r>
        <w:t xml:space="preserve"> </w:t>
      </w:r>
      <w:r>
        <w:t xml:space="preserve">- Toggle between Tier 1/2/3 with live coverage % update per selected standard</w:t>
      </w:r>
    </w:p>
    <w:p>
      <w:pPr>
        <w:pStyle w:val="Compact"/>
        <w:numPr>
          <w:ilvl w:val="0"/>
          <w:numId w:val="1004"/>
        </w:numPr>
      </w:pPr>
      <w:r>
        <w:rPr>
          <w:b/>
          <w:bCs/>
        </w:rPr>
        <w:t xml:space="preserve">Credentials</w:t>
      </w:r>
      <w:r>
        <w:t xml:space="preserve"> </w:t>
      </w:r>
      <w:r>
        <w:t xml:space="preserve">- Dynamic form based on tier:</w:t>
      </w:r>
    </w:p>
    <w:p>
      <w:pPr>
        <w:pStyle w:val="Compact"/>
        <w:numPr>
          <w:ilvl w:val="1"/>
          <w:numId w:val="1005"/>
        </w:numPr>
      </w:pPr>
      <w:r>
        <w:t xml:space="preserve">Tier 1: API endpoint + key only</w:t>
      </w:r>
    </w:p>
    <w:p>
      <w:pPr>
        <w:pStyle w:val="Compact"/>
        <w:numPr>
          <w:ilvl w:val="1"/>
          <w:numId w:val="1005"/>
        </w:numPr>
      </w:pPr>
      <w:r>
        <w:t xml:space="preserve">Tier 2: + Cloud provider API key, monitoring API key</w:t>
      </w:r>
    </w:p>
    <w:p>
      <w:pPr>
        <w:pStyle w:val="Compact"/>
        <w:numPr>
          <w:ilvl w:val="1"/>
          <w:numId w:val="1005"/>
        </w:numPr>
      </w:pPr>
      <w:r>
        <w:t xml:space="preserve">Tier 3: + Git repo URL, staging environment URL</w:t>
      </w:r>
    </w:p>
    <w:bookmarkEnd w:id="54"/>
    <w:bookmarkStart w:id="55" w:name="output-panel-tabbed"/>
    <w:p>
      <w:pPr>
        <w:pStyle w:val="Heading2"/>
      </w:pPr>
      <w:r>
        <w:t xml:space="preserve">Output Panel (Tabbed)</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Tab</w:t>
            </w:r>
          </w:p>
        </w:tc>
        <w:tc>
          <w:tcPr/>
          <w:p>
            <w:pPr>
              <w:pStyle w:val="Compact"/>
            </w:pPr>
            <w:r>
              <w:t xml:space="preserve">Content</w:t>
            </w:r>
          </w:p>
        </w:tc>
      </w:tr>
      <w:tr>
        <w:tc>
          <w:tcPr/>
          <w:p>
            <w:pPr>
              <w:pStyle w:val="Compact"/>
            </w:pPr>
            <w:r>
              <w:rPr>
                <w:b/>
                <w:bCs/>
              </w:rPr>
              <w:t xml:space="preserve">Live Progress</w:t>
            </w:r>
          </w:p>
        </w:tc>
        <w:tc>
          <w:tcPr/>
          <w:p>
            <w:pPr>
              <w:pStyle w:val="Compact"/>
            </w:pPr>
            <w:r>
              <w:t xml:space="preserve">Real-time stream showing each control being tested, pass/fail, running scores per standard</w:t>
            </w:r>
          </w:p>
        </w:tc>
      </w:tr>
      <w:tr>
        <w:tc>
          <w:tcPr/>
          <w:p>
            <w:pPr>
              <w:pStyle w:val="Compact"/>
            </w:pPr>
            <w:r>
              <w:rPr>
                <w:b/>
                <w:bCs/>
              </w:rPr>
              <w:t xml:space="preserve">[Standard 1] Report</w:t>
            </w:r>
          </w:p>
        </w:tc>
        <w:tc>
          <w:tcPr/>
          <w:p>
            <w:pPr>
              <w:pStyle w:val="Compact"/>
            </w:pPr>
            <w:r>
              <w:t xml:space="preserve">Full formatted report in that standard’s structure</w:t>
            </w:r>
          </w:p>
        </w:tc>
      </w:tr>
      <w:tr>
        <w:tc>
          <w:tcPr/>
          <w:p>
            <w:pPr>
              <w:pStyle w:val="Compact"/>
            </w:pPr>
            <w:r>
              <w:rPr>
                <w:b/>
                <w:bCs/>
              </w:rPr>
              <w:t xml:space="preserve">[Standard 2] Report</w:t>
            </w:r>
          </w:p>
        </w:tc>
        <w:tc>
          <w:tcPr/>
          <w:p>
            <w:pPr>
              <w:pStyle w:val="Compact"/>
            </w:pPr>
            <w:r>
              <w:t xml:space="preserve">Full formatted report in that standard’s structure</w:t>
            </w:r>
          </w:p>
        </w:tc>
      </w:tr>
      <w:tr>
        <w:tc>
          <w:tcPr/>
          <w:p>
            <w:pPr>
              <w:pStyle w:val="Compact"/>
            </w:pPr>
            <w:r>
              <w:rPr>
                <w:b/>
                <w:bCs/>
              </w:rPr>
              <w:t xml:space="preserve">Cross Insights</w:t>
            </w:r>
          </w:p>
        </w:tc>
        <w:tc>
          <w:tcPr/>
          <w:p>
            <w:pPr>
              <w:pStyle w:val="Compact"/>
            </w:pPr>
            <w:r>
              <w:t xml:space="preserve">Shared gaps, priority matrix, 5-pillar radar summary, effort estimate</w:t>
            </w:r>
          </w:p>
        </w:tc>
      </w:tr>
      <w:tr>
        <w:tc>
          <w:tcPr/>
          <w:p>
            <w:pPr>
              <w:pStyle w:val="Compact"/>
            </w:pPr>
            <w:r>
              <w:rPr>
                <w:b/>
                <w:bCs/>
              </w:rPr>
              <w:t xml:space="preserve">Download</w:t>
            </w:r>
          </w:p>
        </w:tc>
        <w:tc>
          <w:tcPr/>
          <w:p>
            <w:pPr>
              <w:pStyle w:val="Compact"/>
            </w:pPr>
            <w:r>
              <w:t xml:space="preserve">PDF download for each report + combined package</w:t>
            </w:r>
          </w:p>
        </w:tc>
      </w:tr>
    </w:tbl>
    <w:p>
      <w:pPr>
        <w:pStyle w:val="BodyText"/>
      </w:pPr>
      <w:r>
        <w:t xml:space="preserve">A persistent banner across the output panel reinforces the core mechanic:</w:t>
      </w:r>
      <w:r>
        <w:t xml:space="preserve"> </w:t>
      </w:r>
      <w:r>
        <w:rPr>
          <w:i/>
          <w:iCs/>
        </w:rPr>
        <w:t xml:space="preserve">“Only the standards selected in the input panel are ever evaluated - nothing runs unrequested.”</w:t>
      </w:r>
    </w:p>
    <w:bookmarkEnd w:id="55"/>
    <w:bookmarkStart w:id="56" w:name="real-time-communication-sse"/>
    <w:p>
      <w:pPr>
        <w:pStyle w:val="Heading2"/>
      </w:pPr>
      <w:r>
        <w:t xml:space="preserve">Real-Time Communication (SSE)</w:t>
      </w:r>
    </w:p>
    <w:p>
      <w:pPr>
        <w:pStyle w:val="SourceCode"/>
      </w:pPr>
      <w:r>
        <w:rPr>
          <w:rStyle w:val="CommentTok"/>
        </w:rPr>
        <w:t xml:space="preserve"># Backend: FastAPI SSE endpoint</w:t>
      </w:r>
      <w:r>
        <w:br/>
      </w:r>
      <w:r>
        <w:rPr>
          <w:rStyle w:val="AttributeTok"/>
        </w:rPr>
        <w:t xml:space="preserve">@app.get</w:t>
      </w:r>
      <w:r>
        <w:rPr>
          <w:rStyle w:val="NormalTok"/>
        </w:rPr>
        <w:t xml:space="preserve">(</w:t>
      </w:r>
      <w:r>
        <w:rPr>
          <w:rStyle w:val="StringTok"/>
        </w:rPr>
        <w:t xml:space="preserve">"/api/assessments/</w:t>
      </w:r>
      <w:r>
        <w:rPr>
          <w:rStyle w:val="SpecialCharTok"/>
        </w:rPr>
        <w:t xml:space="preserve">{id}</w:t>
      </w:r>
      <w:r>
        <w:rPr>
          <w:rStyle w:val="StringTok"/>
        </w:rPr>
        <w:t xml:space="preserve">/stream"</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stream_assessment(</w:t>
      </w:r>
      <w:r>
        <w:rPr>
          <w:rStyle w:val="BuiltInTok"/>
        </w:rPr>
        <w:t xml:space="preserve">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event_generator():</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engine.run_assessment(</w:t>
      </w:r>
      <w:r>
        <w:rPr>
          <w:rStyle w:val="BuiltInTok"/>
        </w:rPr>
        <w:t xml:space="preserve">id</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"event"</w:t>
      </w:r>
      <w:r>
        <w:rPr>
          <w:rStyle w:val="NormalTok"/>
        </w:rPr>
        <w:t xml:space="preserve">: event.</w:t>
      </w:r>
      <w:r>
        <w:rPr>
          <w:rStyle w:val="BuiltInTok"/>
        </w:rPr>
        <w:t xml:space="preserve">type</w:t>
      </w:r>
      <w:r>
        <w:rPr>
          <w:rStyle w:val="NormalTok"/>
        </w:rPr>
        <w:t xml:space="preserve">,  </w:t>
      </w:r>
      <w:r>
        <w:rPr>
          <w:rStyle w:val="CommentTok"/>
        </w:rPr>
        <w:t xml:space="preserve"># "control_start", "control_result", "standard_complete"</w:t>
      </w:r>
      <w:r>
        <w:br/>
      </w:r>
      <w:r>
        <w:rPr>
          <w:rStyle w:val="NormalTok"/>
        </w:rPr>
        <w:t xml:space="preserve">                </w:t>
      </w:r>
      <w:r>
        <w:rPr>
          <w:rStyle w:val="StringTok"/>
        </w:rPr>
        <w:t xml:space="preserve">"data"</w:t>
      </w:r>
      <w:r>
        <w:rPr>
          <w:rStyle w:val="NormalTok"/>
        </w:rPr>
        <w:t xml:space="preserve">: json.dumps({</w:t>
      </w:r>
      <w:r>
        <w:br/>
      </w:r>
      <w:r>
        <w:rPr>
          <w:rStyle w:val="NormalTok"/>
        </w:rPr>
        <w:t xml:space="preserve">                    </w:t>
      </w:r>
      <w:r>
        <w:rPr>
          <w:rStyle w:val="StringTok"/>
        </w:rPr>
        <w:t xml:space="preserve">"standard"</w:t>
      </w:r>
      <w:r>
        <w:rPr>
          <w:rStyle w:val="NormalTok"/>
        </w:rPr>
        <w:t xml:space="preserve">: event.standard_id,</w:t>
      </w:r>
      <w:r>
        <w:br/>
      </w:r>
      <w:r>
        <w:rPr>
          <w:rStyle w:val="NormalTok"/>
        </w:rPr>
        <w:t xml:space="preserve">                    </w:t>
      </w:r>
      <w:r>
        <w:rPr>
          <w:rStyle w:val="StringTok"/>
        </w:rPr>
        <w:t xml:space="preserve">"control_id"</w:t>
      </w:r>
      <w:r>
        <w:rPr>
          <w:rStyle w:val="NormalTok"/>
        </w:rPr>
        <w:t xml:space="preserve">: event.control_id,</w:t>
      </w:r>
      <w:r>
        <w:br/>
      </w:r>
      <w:r>
        <w:rPr>
          <w:rStyle w:val="NormalTok"/>
        </w:rPr>
        <w:t xml:space="preserve">                    </w:t>
      </w:r>
      <w:r>
        <w:rPr>
          <w:rStyle w:val="StringTok"/>
        </w:rPr>
        <w:t xml:space="preserve">"status"</w:t>
      </w:r>
      <w:r>
        <w:rPr>
          <w:rStyle w:val="NormalTok"/>
        </w:rPr>
        <w:t xml:space="preserve">: event.status,     </w:t>
      </w:r>
      <w:r>
        <w:rPr>
          <w:rStyle w:val="CommentTok"/>
        </w:rPr>
        <w:t xml:space="preserve"># "pass", "fail", "partial"</w:t>
      </w:r>
      <w:r>
        <w:br/>
      </w:r>
      <w:r>
        <w:rPr>
          <w:rStyle w:val="NormalTok"/>
        </w:rPr>
        <w:t xml:space="preserve">                    </w:t>
      </w:r>
      <w:r>
        <w:rPr>
          <w:rStyle w:val="StringTok"/>
        </w:rPr>
        <w:t xml:space="preserve">"score"</w:t>
      </w:r>
      <w:r>
        <w:rPr>
          <w:rStyle w:val="NormalTok"/>
        </w:rPr>
        <w:t xml:space="preserve">: event.score,</w:t>
      </w:r>
      <w:r>
        <w:br/>
      </w:r>
      <w:r>
        <w:rPr>
          <w:rStyle w:val="NormalTok"/>
        </w:rPr>
        <w:t xml:space="preserve">                    </w:t>
      </w:r>
      <w:r>
        <w:rPr>
          <w:rStyle w:val="StringTok"/>
        </w:rPr>
        <w:t xml:space="preserve">"pillar_tags"</w:t>
      </w:r>
      <w:r>
        <w:rPr>
          <w:rStyle w:val="NormalTok"/>
        </w:rPr>
        <w:t xml:space="preserve">: event.pillar_tags,</w:t>
      </w:r>
      <w:r>
        <w:br/>
      </w:r>
      <w:r>
        <w:rPr>
          <w:rStyle w:val="NormalTok"/>
        </w:rPr>
        <w:t xml:space="preserve">                    </w:t>
      </w:r>
      <w:r>
        <w:rPr>
          <w:rStyle w:val="StringTok"/>
        </w:rPr>
        <w:t xml:space="preserve">"message"</w:t>
      </w:r>
      <w:r>
        <w:rPr>
          <w:rStyle w:val="NormalTok"/>
        </w:rPr>
        <w:t xml:space="preserve">: event.message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EventSourceResponse(event_generator())</w:t>
      </w:r>
    </w:p>
    <w:p>
      <w:pPr>
        <w:pStyle w:val="SourceCode"/>
      </w:pPr>
      <w:r>
        <w:rPr>
          <w:rStyle w:val="CommentTok"/>
        </w:rPr>
        <w:t xml:space="preserve">// Frontend: React hook</w:t>
      </w:r>
      <w:r>
        <w:br/>
      </w:r>
      <w:r>
        <w:rPr>
          <w:rStyle w:val="KeywordTok"/>
        </w:rPr>
        <w:t xml:space="preserve">function</w:t>
      </w:r>
      <w:r>
        <w:rPr>
          <w:rStyle w:val="NormalTok"/>
        </w:rPr>
        <w:t xml:space="preserve"> </w:t>
      </w:r>
      <w:r>
        <w:rPr>
          <w:rStyle w:val="FunctionTok"/>
        </w:rPr>
        <w:t xml:space="preserve">useAssessmentStream</w:t>
      </w:r>
      <w:r>
        <w:rPr>
          <w:rStyle w:val="NormalTok"/>
        </w:rPr>
        <w:t xml:space="preserve">(assessmentId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[progress</w:t>
      </w:r>
      <w:r>
        <w:rPr>
          <w:rStyle w:val="OperatorTok"/>
        </w:rPr>
        <w:t xml:space="preserve">,</w:t>
      </w:r>
      <w:r>
        <w:rPr>
          <w:rStyle w:val="NormalTok"/>
        </w:rPr>
        <w:t xml:space="preserve"> setProgress]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StandardProgress</w:t>
      </w:r>
      <w:r>
        <w:rPr>
          <w:rStyle w:val="OperatorTok"/>
        </w:rPr>
        <w:t xml:space="preserve">&gt;&gt;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EventSource</w:t>
      </w:r>
      <w:r>
        <w:rPr>
          <w:rStyle w:val="NormalTok"/>
        </w:rPr>
        <w:t xml:space="preserve">(</w:t>
      </w:r>
      <w:r>
        <w:rPr>
          <w:rStyle w:val="VerbatimStringTok"/>
        </w:rPr>
        <w:t xml:space="preserve">`/api/assessments/</w:t>
      </w:r>
      <w:r>
        <w:rPr>
          <w:rStyle w:val="SpecialCharTok"/>
        </w:rPr>
        <w:t xml:space="preserve">${</w:t>
      </w:r>
      <w:r>
        <w:rPr>
          <w:rStyle w:val="NormalTok"/>
        </w:rPr>
        <w:t xml:space="preserve">assessmentId</w:t>
      </w:r>
      <w:r>
        <w:rPr>
          <w:rStyle w:val="SpecialCharTok"/>
        </w:rPr>
        <w:t xml:space="preserve">}</w:t>
      </w:r>
      <w:r>
        <w:rPr>
          <w:rStyle w:val="VerbatimStringTok"/>
        </w:rPr>
        <w:t xml:space="preserve">/stream`</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FunctionTok"/>
        </w:rPr>
        <w:t xml:space="preserve">addEventListener</w:t>
      </w:r>
      <w:r>
        <w:rPr>
          <w:rStyle w:val="NormalTok"/>
        </w:rPr>
        <w:t xml:space="preserve">(</w:t>
      </w:r>
      <w:r>
        <w:rPr>
          <w:rStyle w:val="StringTok"/>
        </w:rPr>
        <w:t xml:space="preserve">'control_result'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setProgress</w:t>
      </w:r>
      <w:r>
        <w:rPr>
          <w:rStyle w:val="NormalTok"/>
        </w:rPr>
        <w:t xml:space="preserve">(prev </w:t>
      </w:r>
      <w:r>
        <w:rPr>
          <w:rStyle w:val="KeywordTok"/>
        </w:rPr>
        <w:t xml:space="preserve">=&gt;</w:t>
      </w:r>
      <w:r>
        <w:rPr>
          <w:rStyle w:val="NormalTok"/>
        </w:rPr>
        <w:t xml:space="preserve"> </w:t>
      </w:r>
      <w:r>
        <w:rPr>
          <w:rStyle w:val="FunctionTok"/>
        </w:rPr>
        <w:t xml:space="preserve">updateStandardProgress</w:t>
      </w:r>
      <w:r>
        <w:rPr>
          <w:rStyle w:val="NormalTok"/>
        </w:rPr>
        <w:t xml:space="preserve">(prev</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FunctionTok"/>
        </w:rPr>
        <w:t xml:space="preserve">addEventListener</w:t>
      </w:r>
      <w:r>
        <w:rPr>
          <w:rStyle w:val="NormalTok"/>
        </w:rPr>
        <w:t xml:space="preserve">(</w:t>
      </w:r>
      <w:r>
        <w:rPr>
          <w:rStyle w:val="StringTok"/>
        </w:rPr>
        <w:t xml:space="preserve">'standard_complete'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mmentTok"/>
        </w:rPr>
        <w:t xml:space="preserve">// Switch to report tab for this standard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source</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[assessmentId])</w:t>
      </w:r>
      <w:r>
        <w:rPr>
          <w:rStyle w:val="OperatorTok"/>
        </w:rPr>
        <w:t xml:space="preserve">;</w:t>
      </w:r>
      <w:r>
        <w:br/>
      </w:r>
      <w:r>
        <w:br/>
      </w:r>
      <w:r>
        <w:rPr>
          <w:rStyle w:val="NormalTok"/>
        </w:rPr>
        <w:t xml:space="preserve">  </w:t>
      </w:r>
      <w:r>
        <w:rPr>
          <w:rStyle w:val="ControlFlowTok"/>
        </w:rPr>
        <w:t xml:space="preserve">return</w:t>
      </w:r>
      <w:r>
        <w:rPr>
          <w:rStyle w:val="NormalTok"/>
        </w:rPr>
        <w:t xml:space="preserve"> progress</w:t>
      </w:r>
      <w:r>
        <w:rPr>
          <w:rStyle w:val="OperatorTok"/>
        </w:rPr>
        <w:t xml:space="preserve">;</w:t>
      </w:r>
      <w:r>
        <w:br/>
      </w:r>
      <w:r>
        <w:rPr>
          <w:rStyle w:val="NormalTok"/>
        </w:rPr>
        <w:t xml:space="preserve">}</w:t>
      </w:r>
    </w:p>
    <w:p>
      <w:r>
        <w:pict>
          <v:rect style="width:0;height:1.5pt" o:hralign="center" o:hrstd="t" o:hr="t"/>
        </w:pict>
      </w:r>
    </w:p>
    <w:bookmarkEnd w:id="56"/>
    <w:bookmarkEnd w:id="57"/>
    <w:bookmarkStart w:id="59" w:name="deployment"/>
    <w:p>
      <w:pPr>
        <w:pStyle w:val="Heading1"/>
      </w:pPr>
      <w:r>
        <w:t xml:space="preserve">12. Deployment</w:t>
      </w:r>
    </w:p>
    <w:tbl>
      <w:tblPr>
        <w:tblStyle w:val="Table"/>
        <w:tblW w:type="pct" w:w="5000"/>
        <w:tblLayout w:type="fixed"/>
        <w:tblLook w:firstRow="1" w:lastRow="0" w:firstColumn="0" w:lastColumn="0" w:noHBand="0" w:noVBand="0" w:val="0020"/>
      </w:tblPr>
      <w:tblGrid>
        <w:gridCol w:w="3004"/>
        <w:gridCol w:w="2731"/>
        <w:gridCol w:w="2184"/>
      </w:tblGrid>
      <w:tr>
        <w:trPr>
          <w:tblHeader w:val="on"/>
        </w:trPr>
        <w:tc>
          <w:tcPr/>
          <w:p>
            <w:pPr>
              <w:pStyle w:val="Compact"/>
            </w:pPr>
            <w:r>
              <w:t xml:space="preserve">Component</w:t>
            </w:r>
          </w:p>
        </w:tc>
        <w:tc>
          <w:tcPr/>
          <w:p>
            <w:pPr>
              <w:pStyle w:val="Compact"/>
            </w:pPr>
            <w:r>
              <w:t xml:space="preserve">Platform</w:t>
            </w:r>
          </w:p>
        </w:tc>
        <w:tc>
          <w:tcPr/>
          <w:p>
            <w:pPr>
              <w:pStyle w:val="Compact"/>
            </w:pPr>
            <w:r>
              <w:t xml:space="preserve">Reason</w:t>
            </w:r>
          </w:p>
        </w:tc>
      </w:tr>
      <w:tr>
        <w:tc>
          <w:tcPr/>
          <w:p>
            <w:pPr>
              <w:pStyle w:val="Compact"/>
            </w:pPr>
            <w:r>
              <w:t xml:space="preserve">Frontend (Next.js)</w:t>
            </w:r>
          </w:p>
        </w:tc>
        <w:tc>
          <w:tcPr/>
          <w:p>
            <w:pPr>
              <w:pStyle w:val="Compact"/>
            </w:pPr>
            <w:r>
              <w:t xml:space="preserve">Vercel</w:t>
            </w:r>
          </w:p>
        </w:tc>
        <w:tc>
          <w:tcPr/>
          <w:p>
            <w:pPr>
              <w:pStyle w:val="Compact"/>
            </w:pPr>
            <w:r>
              <w:t xml:space="preserve">Optimized for Next.js, edge caching</w:t>
            </w:r>
          </w:p>
        </w:tc>
      </w:tr>
      <w:tr>
        <w:tc>
          <w:tcPr/>
          <w:p>
            <w:pPr>
              <w:pStyle w:val="Compact"/>
            </w:pPr>
            <w:r>
              <w:t xml:space="preserve">Backend (FastAPI)</w:t>
            </w:r>
          </w:p>
        </w:tc>
        <w:tc>
          <w:tcPr/>
          <w:p>
            <w:pPr>
              <w:pStyle w:val="Compact"/>
            </w:pPr>
            <w:r>
              <w:t xml:space="preserve">Railway / Fly.io</w:t>
            </w:r>
          </w:p>
        </w:tc>
        <w:tc>
          <w:tcPr/>
          <w:p>
            <w:pPr>
              <w:pStyle w:val="Compact"/>
            </w:pPr>
            <w:r>
              <w:t xml:space="preserve">Long-running evaluations (5-15 min), no serverless timeout</w:t>
            </w:r>
          </w:p>
        </w:tc>
      </w:tr>
      <w:tr>
        <w:tc>
          <w:tcPr/>
          <w:p>
            <w:pPr>
              <w:pStyle w:val="Compact"/>
            </w:pPr>
            <w:r>
              <w:t xml:space="preserve">Database</w:t>
            </w:r>
          </w:p>
        </w:tc>
        <w:tc>
          <w:tcPr/>
          <w:p>
            <w:pPr>
              <w:pStyle w:val="Compact"/>
            </w:pPr>
            <w:r>
              <w:t xml:space="preserve">Neon PostgreSQL</w:t>
            </w:r>
          </w:p>
        </w:tc>
        <w:tc>
          <w:tcPr/>
          <w:p>
            <w:pPr>
              <w:pStyle w:val="Compact"/>
            </w:pPr>
            <w:r>
              <w:t xml:space="preserve">Serverless Postgres, auto-scaling</w:t>
            </w:r>
          </w:p>
        </w:tc>
      </w:tr>
      <w:tr>
        <w:tc>
          <w:tcPr/>
          <w:p>
            <w:pPr>
              <w:pStyle w:val="Compact"/>
            </w:pPr>
            <w:r>
              <w:t xml:space="preserve">Cache/Queue</w:t>
            </w:r>
          </w:p>
        </w:tc>
        <w:tc>
          <w:tcPr/>
          <w:p>
            <w:pPr>
              <w:pStyle w:val="Compact"/>
            </w:pPr>
            <w:r>
              <w:t xml:space="preserve">Upstash Redis</w:t>
            </w:r>
          </w:p>
        </w:tc>
        <w:tc>
          <w:tcPr/>
          <w:p>
            <w:pPr>
              <w:pStyle w:val="Compact"/>
            </w:pPr>
            <w:r>
              <w:t xml:space="preserve">Serverless Redis for task queue</w:t>
            </w:r>
          </w:p>
        </w:tc>
      </w:tr>
      <w:tr>
        <w:tc>
          <w:tcPr/>
          <w:p>
            <w:pPr>
              <w:pStyle w:val="Compact"/>
            </w:pPr>
            <w:r>
              <w:t xml:space="preserve">Control Packs</w:t>
            </w:r>
          </w:p>
        </w:tc>
        <w:tc>
          <w:tcPr/>
          <w:p>
            <w:pPr>
              <w:pStyle w:val="Compact"/>
            </w:pPr>
            <w:r>
              <w:t xml:space="preserve">Git repo (versioned)</w:t>
            </w:r>
          </w:p>
        </w:tc>
        <w:tc>
          <w:tcPr/>
          <w:p>
            <w:pPr>
              <w:pStyle w:val="Compact"/>
            </w:pPr>
            <w:r>
              <w:t xml:space="preserve">Easy to update standards, PR-based changes</w:t>
            </w:r>
          </w:p>
        </w:tc>
      </w:tr>
    </w:tbl>
    <w:bookmarkStart w:id="58" w:name="local-development"/>
    <w:p>
      <w:pPr>
        <w:pStyle w:val="Heading2"/>
      </w:pPr>
      <w:r>
        <w:t xml:space="preserve">Local Development</w:t>
      </w:r>
    </w:p>
    <w:p>
      <w:pPr>
        <w:pStyle w:val="SourceCode"/>
      </w:pPr>
      <w:r>
        <w:rPr>
          <w:rStyle w:val="CommentTok"/>
        </w:rPr>
        <w:t xml:space="preserve"># Backend</w:t>
      </w:r>
      <w:r>
        <w:br/>
      </w: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uvicorn</w:t>
      </w:r>
      <w:r>
        <w:rPr>
          <w:rStyle w:val="NormalTok"/>
        </w:rPr>
        <w:t xml:space="preserve"> app.main:app </w:t>
      </w:r>
      <w:r>
        <w:rPr>
          <w:rStyle w:val="AttributeTok"/>
        </w:rPr>
        <w:t xml:space="preserve">--reload</w:t>
      </w:r>
      <w:r>
        <w:rPr>
          <w:rStyle w:val="NormalTok"/>
        </w:rPr>
        <w:t xml:space="preserve"> </w:t>
      </w:r>
      <w:r>
        <w:rPr>
          <w:rStyle w:val="AttributeTok"/>
        </w:rPr>
        <w:t xml:space="preserve">--port</w:t>
      </w:r>
      <w:r>
        <w:rPr>
          <w:rStyle w:val="NormalTok"/>
        </w:rPr>
        <w:t xml:space="preserve"> 8000</w:t>
      </w:r>
      <w:r>
        <w:br/>
      </w:r>
      <w:r>
        <w:br/>
      </w:r>
      <w:r>
        <w:rPr>
          <w:rStyle w:val="CommentTok"/>
        </w:rPr>
        <w:t xml:space="preserve">#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  </w:t>
      </w:r>
      <w:r>
        <w:rPr>
          <w:rStyle w:val="CommentTok"/>
        </w:rPr>
        <w:t xml:space="preserve"># localhost:3000, proxies /api to :8000</w:t>
      </w:r>
    </w:p>
    <w:p>
      <w:r>
        <w:pict>
          <v:rect style="width:0;height:1.5pt" o:hralign="center" o:hrstd="t" o:hr="t"/>
        </w:pict>
      </w:r>
    </w:p>
    <w:bookmarkEnd w:id="58"/>
    <w:bookmarkEnd w:id="59"/>
    <w:bookmarkStart w:id="60" w:name="adding-new-standards"/>
    <w:p>
      <w:pPr>
        <w:pStyle w:val="Heading1"/>
      </w:pPr>
      <w:r>
        <w:t xml:space="preserve">13. Adding New Standards</w:t>
      </w:r>
    </w:p>
    <w:p>
      <w:pPr>
        <w:pStyle w:val="FirstParagraph"/>
      </w:pPr>
      <w:r>
        <w:t xml:space="preserve">To add a new standard (e.g., a new regulation passes):</w:t>
      </w:r>
    </w:p>
    <w:p>
      <w:pPr>
        <w:pStyle w:val="Compact"/>
        <w:numPr>
          <w:ilvl w:val="0"/>
          <w:numId w:val="1006"/>
        </w:numPr>
      </w:pPr>
      <w:r>
        <w:rPr>
          <w:b/>
          <w:bCs/>
        </w:rPr>
        <w:t xml:space="preserve">Create control pack</w:t>
      </w:r>
      <w:r>
        <w:t xml:space="preserve">:</w:t>
      </w:r>
      <w:r>
        <w:t xml:space="preserve"> </w:t>
      </w:r>
      <w:r>
        <w:rPr>
          <w:rStyle w:val="VerbatimChar"/>
        </w:rPr>
        <w:t xml:space="preserve">control_packs/new_standard.yaml</w:t>
      </w:r>
    </w:p>
    <w:p>
      <w:pPr>
        <w:pStyle w:val="Compact"/>
        <w:numPr>
          <w:ilvl w:val="0"/>
          <w:numId w:val="1006"/>
        </w:numPr>
      </w:pPr>
      <w:r>
        <w:rPr>
          <w:b/>
          <w:bCs/>
        </w:rPr>
        <w:t xml:space="preserve">Define controls</w:t>
      </w:r>
      <w:r>
        <w:t xml:space="preserve">: Each with id, test_type, tier_minimum, pillar_tags, probes, pass_criteria</w:t>
      </w:r>
    </w:p>
    <w:p>
      <w:pPr>
        <w:pStyle w:val="Compact"/>
        <w:numPr>
          <w:ilvl w:val="0"/>
          <w:numId w:val="1006"/>
        </w:numPr>
      </w:pPr>
      <w:r>
        <w:rPr>
          <w:b/>
          <w:bCs/>
        </w:rPr>
        <w:t xml:space="preserve">Create report template</w:t>
      </w:r>
      <w:r>
        <w:t xml:space="preserve">:</w:t>
      </w:r>
      <w:r>
        <w:t xml:space="preserve"> </w:t>
      </w:r>
      <w:r>
        <w:rPr>
          <w:rStyle w:val="VerbatimChar"/>
        </w:rPr>
        <w:t xml:space="preserve">reports/templates/new_standard.jinja2</w:t>
      </w:r>
    </w:p>
    <w:p>
      <w:pPr>
        <w:pStyle w:val="Compact"/>
        <w:numPr>
          <w:ilvl w:val="0"/>
          <w:numId w:val="1006"/>
        </w:numPr>
      </w:pPr>
      <w:r>
        <w:rPr>
          <w:b/>
          <w:bCs/>
        </w:rPr>
        <w:t xml:space="preserve">Add to industry mapping</w:t>
      </w:r>
      <w:r>
        <w:t xml:space="preserve">: Update</w:t>
      </w:r>
      <w:r>
        <w:t xml:space="preserve"> </w:t>
      </w:r>
      <w:r>
        <w:rPr>
          <w:rStyle w:val="VerbatimChar"/>
        </w:rPr>
        <w:t xml:space="preserve">standards.py</w:t>
      </w:r>
      <w:r>
        <w:t xml:space="preserve"> </w:t>
      </w:r>
      <w:r>
        <w:t xml:space="preserve">to include in relevant industries</w:t>
      </w:r>
    </w:p>
    <w:p>
      <w:pPr>
        <w:pStyle w:val="Compact"/>
        <w:numPr>
          <w:ilvl w:val="0"/>
          <w:numId w:val="1006"/>
        </w:numPr>
      </w:pPr>
      <w:r>
        <w:rPr>
          <w:b/>
          <w:bCs/>
        </w:rPr>
        <w:t xml:space="preserve">Test</w:t>
      </w:r>
      <w:r>
        <w:t xml:space="preserve">: Run against a test chatbot, verify all controls execute correctly and pillar tags roll up properly</w:t>
      </w:r>
    </w:p>
    <w:p>
      <w:pPr>
        <w:pStyle w:val="FirstParagraph"/>
      </w:pPr>
      <w:r>
        <w:t xml:space="preserve">No code changes are needed to the evaluation engine itself. The system is entirely data-driven via YAML control packs, and pillar tagging means new standards plug directly into existing cross-standard insight logic and dashboards.</w:t>
      </w:r>
    </w:p>
    <w:p>
      <w:r>
        <w:pict>
          <v:rect style="width:0;height:1.5pt" o:hralign="center" o:hrstd="t" o:hr="t"/>
        </w:pict>
      </w:r>
    </w:p>
    <w:bookmarkEnd w:id="60"/>
    <w:bookmarkStart w:id="61" w:name="summary"/>
    <w:p>
      <w:pPr>
        <w:pStyle w:val="Heading1"/>
      </w:pPr>
      <w:r>
        <w:t xml:space="preserve">14. Summary</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What drives the evaluation?</w:t>
            </w:r>
          </w:p>
        </w:tc>
        <w:tc>
          <w:tcPr/>
          <w:p>
            <w:pPr>
              <w:pStyle w:val="Compact"/>
            </w:pPr>
            <w:r>
              <w:t xml:space="preserve">The industry and standards the user selects on the input screen</w:t>
            </w:r>
          </w:p>
        </w:tc>
      </w:tr>
      <w:tr>
        <w:tc>
          <w:tcPr/>
          <w:p>
            <w:pPr>
              <w:pStyle w:val="Compact"/>
            </w:pPr>
            <w:r>
              <w:t xml:space="preserve">How many engines?</w:t>
            </w:r>
          </w:p>
        </w:tc>
        <w:tc>
          <w:tcPr/>
          <w:p>
            <w:pPr>
              <w:pStyle w:val="Compact"/>
            </w:pPr>
            <w:r>
              <w:t xml:space="preserve">One per selected standard (1-3), running in parallel</w:t>
            </w:r>
          </w:p>
        </w:tc>
      </w:tr>
      <w:tr>
        <w:tc>
          <w:tcPr/>
          <w:p>
            <w:pPr>
              <w:pStyle w:val="Compact"/>
            </w:pPr>
            <w:r>
              <w:t xml:space="preserve">What about security?</w:t>
            </w:r>
          </w:p>
        </w:tc>
        <w:tc>
          <w:tcPr/>
          <w:p>
            <w:pPr>
              <w:pStyle w:val="Compact"/>
            </w:pPr>
            <w:r>
              <w:t xml:space="preserve">OWASP runs always, findings map to standard controls via shared pillar tags</w:t>
            </w:r>
          </w:p>
        </w:tc>
      </w:tr>
      <w:tr>
        <w:tc>
          <w:tcPr/>
          <w:p>
            <w:pPr>
              <w:pStyle w:val="Compact"/>
            </w:pPr>
            <w:r>
              <w:t xml:space="preserve">How is output formatted?</w:t>
            </w:r>
          </w:p>
        </w:tc>
        <w:tc>
          <w:tcPr/>
          <w:p>
            <w:pPr>
              <w:pStyle w:val="Compact"/>
            </w:pPr>
            <w:r>
              <w:t xml:space="preserve">Each standard gets its own native report format</w:t>
            </w:r>
          </w:p>
        </w:tc>
      </w:tr>
      <w:tr>
        <w:tc>
          <w:tcPr/>
          <w:p>
            <w:pPr>
              <w:pStyle w:val="Compact"/>
            </w:pPr>
            <w:r>
              <w:t xml:space="preserve">What if standards overlap?</w:t>
            </w:r>
          </w:p>
        </w:tc>
        <w:tc>
          <w:tcPr/>
          <w:p>
            <w:pPr>
              <w:pStyle w:val="Compact"/>
            </w:pPr>
            <w:r>
              <w:t xml:space="preserve">Cross-insights report shows shared gaps using pillar tags</w:t>
            </w:r>
          </w:p>
        </w:tc>
      </w:tr>
      <w:tr>
        <w:tc>
          <w:tcPr/>
          <w:p>
            <w:pPr>
              <w:pStyle w:val="Compact"/>
            </w:pPr>
            <w:r>
              <w:t xml:space="preserve">How do results stay comparable?</w:t>
            </w:r>
          </w:p>
        </w:tc>
        <w:tc>
          <w:tcPr/>
          <w:p>
            <w:pPr>
              <w:pStyle w:val="Compact"/>
            </w:pPr>
            <w:r>
              <w:t xml:space="preserve">Every control also rolls up to 5 governance pillars (Trust, Security, Governance, Compliance, Data Protection)</w:t>
            </w:r>
          </w:p>
        </w:tc>
      </w:tr>
      <w:tr>
        <w:tc>
          <w:tcPr/>
          <w:p>
            <w:pPr>
              <w:pStyle w:val="Compact"/>
            </w:pPr>
            <w:r>
              <w:t xml:space="preserve">How to add new standards?</w:t>
            </w:r>
          </w:p>
        </w:tc>
        <w:tc>
          <w:tcPr/>
          <w:p>
            <w:pPr>
              <w:pStyle w:val="Compact"/>
            </w:pPr>
            <w:r>
              <w:t xml:space="preserve">Add a YAML control pack + report template - it plugs into the same pillar system automatically</w:t>
            </w:r>
          </w:p>
        </w:tc>
      </w:tr>
      <w:tr>
        <w:tc>
          <w:tcPr/>
          <w:p>
            <w:pPr>
              <w:pStyle w:val="Compact"/>
            </w:pPr>
            <w:r>
              <w:t xml:space="preserve">What determines depth?</w:t>
            </w:r>
          </w:p>
        </w:tc>
        <w:tc>
          <w:tcPr/>
          <w:p>
            <w:pPr>
              <w:pStyle w:val="Compact"/>
            </w:pPr>
            <w:r>
              <w:t xml:space="preserve">The access tier (1/2/3) limits which controls can be tested</w:t>
            </w:r>
          </w:p>
        </w:tc>
      </w:tr>
      <w:tr>
        <w:tc>
          <w:tcPr/>
          <w:p>
            <w:pPr>
              <w:pStyle w:val="Compact"/>
            </w:pPr>
            <w:r>
              <w:t xml:space="preserve">Is anything hardcoded?</w:t>
            </w:r>
          </w:p>
        </w:tc>
        <w:tc>
          <w:tcPr/>
          <w:p>
            <w:pPr>
              <w:pStyle w:val="Compact"/>
            </w:pPr>
            <w:r>
              <w:t xml:space="preserve">No - fully data-driven via YAML packs</w:t>
            </w:r>
          </w:p>
        </w:tc>
      </w:tr>
    </w:tbl>
    <w:bookmarkEnd w:id="61"/>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2"/>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76" w:lineRule="auto"/>
    </w:pPr>
    <w:rPr>
      <w:rFonts w:ascii="Calibri" w:cs="Calibri" w:hAnsi="Calibri"/>
      <w:color w:val="1F2937"/>
      <w:sz w:val="22"/>
    </w:rPr>
  </w:style>
  <w:style w:styleId="BodyText" w:type="paragraph">
    <w:name w:val="Body Text"/>
    <w:basedOn w:val="Normal"/>
    <w:link w:val="BodyTextChar"/>
    <w:qFormat/>
    <w:pPr>
      <w:spacing w:after="140" w:before="0" w:line="276" w:lineRule="auto"/>
    </w:pPr>
    <w:rPr>
      <w:rFonts w:ascii="Calibri" w:cs="Calibri" w:hAnsi="Calibri"/>
      <w:color w:val="1F2937"/>
      <w:sz w:val="22"/>
    </w:rPr>
  </w:style>
  <w:style w:customStyle="1" w:styleId="FirstParagraph" w:type="paragraph">
    <w:name w:val="First Paragraph"/>
    <w:basedOn w:val="BodyText"/>
    <w:next w:val="BodyText"/>
    <w:qFormat/>
    <w:pPr>
      <w:spacing w:after="140" w:before="0" w:line="276" w:lineRule="auto"/>
    </w:pPr>
    <w:rPr>
      <w:rFonts w:ascii="Calibri" w:cs="Calibri" w:hAnsi="Calibri"/>
      <w:color w:val="1F2937"/>
      <w:sz w:val="22"/>
    </w:rPr>
  </w:style>
  <w:style w:customStyle="1" w:styleId="Compact" w:type="paragraph">
    <w:name w:val="Compact"/>
    <w:basedOn w:val="BodyText"/>
    <w:qFormat/>
    <w:pPr>
      <w:spacing w:after="100" w:before="0" w:line="276" w:lineRule="auto"/>
    </w:pPr>
    <w:rPr>
      <w:rFonts w:ascii="Calibri" w:cs="Calibri" w:hAnsi="Calibri"/>
      <w:color w:val="1F2937"/>
      <w:sz w:val="22"/>
    </w:rPr>
  </w:style>
  <w:style w:styleId="Title" w:type="paragraph">
    <w:name w:val="Title"/>
    <w:basedOn w:val="Normal"/>
    <w:next w:val="BodyText"/>
    <w:link w:val="TitleChar"/>
    <w:uiPriority w:val="10"/>
    <w:qFormat/>
    <w:rsid w:val="00A10FD9"/>
    <w:pPr>
      <w:spacing w:after="120" w:before="0"/>
      <w:jc w:val="left"/>
    </w:pPr>
    <w:rPr>
      <w:rFonts w:ascii="Calibri" w:cs="Calibri" w:hAnsi="Calibri"/>
      <w:b/>
      <w:color w:val="1E293B"/>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360" w:before="0"/>
      <w:jc w:val="left"/>
    </w:pPr>
    <w:rPr>
      <w:rFonts w:ascii="Calibri" w:cs="Calibri" w:hAnsi="Calibri"/>
      <w:color w:val="475569"/>
      <w:sz w:val="26"/>
      <w:i/>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spacing w:after="160" w:before="440"/>
      <w:pBdr>
        <w:bottom w:color="2563EB" w:space="4" w:sz="12" w:val="single"/>
      </w:pBdr>
    </w:pPr>
    <w:rPr>
      <w:rFonts w:ascii="Calibri" w:cs="Calibri" w:hAnsi="Calibri"/>
      <w:b/>
      <w:color w:val="1E293B"/>
      <w:sz w:val="34"/>
      <w:szCs w:val="34"/>
    </w:rPr>
  </w:style>
  <w:style w:styleId="Heading2" w:type="paragraph">
    <w:name w:val="heading 2"/>
    <w:basedOn w:val="Normal"/>
    <w:next w:val="BodyText"/>
    <w:link w:val="Heading2Char"/>
    <w:uiPriority w:val="9"/>
    <w:semiHidden/>
    <w:unhideWhenUsed/>
    <w:qFormat/>
    <w:rsid w:val="00A10FD9"/>
    <w:pPr>
      <w:keepNext/>
      <w:spacing w:after="120" w:before="320"/>
    </w:pPr>
    <w:rPr>
      <w:rFonts w:ascii="Calibri" w:cs="Calibri" w:hAnsi="Calibri"/>
      <w:b/>
      <w:color w:val="2563EB"/>
      <w:sz w:val="26"/>
      <w:szCs w:val="26"/>
    </w:rPr>
  </w:style>
  <w:style w:styleId="Heading3" w:type="paragraph">
    <w:name w:val="heading 3"/>
    <w:basedOn w:val="Normal"/>
    <w:next w:val="BodyText"/>
    <w:link w:val="Heading3Char"/>
    <w:uiPriority w:val="9"/>
    <w:semiHidden/>
    <w:unhideWhenUsed/>
    <w:qFormat/>
    <w:rsid w:val="00A10FD9"/>
    <w:pPr>
      <w:keepNext/>
      <w:spacing w:after="100" w:before="240"/>
    </w:pPr>
    <w:rPr>
      <w:rFonts w:ascii="Calibri" w:cs="Calibri" w:hAnsi="Calibri"/>
      <w:b/>
      <w:color w:val="475569"/>
      <w:sz w:val="23"/>
      <w:szCs w:val="23"/>
    </w:rPr>
  </w:style>
  <w:style w:styleId="Heading4" w:type="paragraph">
    <w:name w:val="heading 4"/>
    <w:basedOn w:val="Normal"/>
    <w:next w:val="BodyText"/>
    <w:link w:val="Heading4Char"/>
    <w:uiPriority w:val="9"/>
    <w:semiHidden/>
    <w:unhideWhenUsed/>
    <w:qFormat/>
    <w:rsid w:val="00A10FD9"/>
    <w:pPr>
      <w:keepNext/>
      <w:spacing w:after="80" w:before="200"/>
    </w:pPr>
    <w:rPr>
      <w:rFonts w:ascii="Calibri" w:cs="Calibri" w:hAnsi="Calibri"/>
      <w:b/>
      <w:i/>
      <w:color w:val="7C3AED"/>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40" w:before="160"/>
      <w:ind w:left="340"/>
      <w:pBdr>
        <w:left w:color="2563EB" w:space="10" w:sz="18" w:val="single"/>
      </w:pBdr>
    </w:pPr>
    <w:rPr>
      <w:rFonts w:ascii="Calibri" w:cs="Calibri" w:hAnsi="Calibri"/>
      <w:color w:val="475569"/>
      <w:sz w:val="21"/>
      <w:i/>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tblP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CellMar>
        <w:top w:type="dxa" w:w="60"/>
        <w:left w:type="dxa" w:w="90"/>
        <w:bottom w:type="dxa" w:w="60"/>
        <w:right w:type="dxa" w:w="90"/>
      </w:tblCellMar>
    </w:tblPr>
    <w:rPr>
      <w:rFonts w:ascii="Calibri" w:cs="Calibri" w:hAnsi="Calibri"/>
      <w:sz w:val="19"/>
    </w:rPr>
    <w:tblStylePr w:type="firstRow">
      <w:rPr>
        <w:b/>
        <w:color w:val="1E293B"/>
      </w:rPr>
      <w:tcPr>
        <w:shd w:color="auto" w:fill="F1F5F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320" w:before="140"/>
      <w:jc w:val="center"/>
    </w:pPr>
    <w:rPr>
      <w:rFonts w:ascii="Calibri" w:cs="Calibri" w:hAnsi="Calibri"/>
      <w:i/>
      <w:color w:val="475569"/>
      <w:sz w:val="18"/>
    </w:rPr>
  </w:style>
  <w:style w:customStyle="1" w:styleId="TableCaption" w:type="paragraph">
    <w:name w:val="Table Caption"/>
    <w:basedOn w:val="Caption"/>
    <w:pPr>
      <w:spacing w:after="240" w:before="140"/>
      <w:jc w:val="center"/>
    </w:pPr>
    <w:rPr>
      <w:rFonts w:ascii="Calibri" w:cs="Calibri" w:hAnsi="Calibri"/>
      <w:i/>
      <w:color w:val="475569"/>
      <w:sz w:val="18"/>
    </w:rPr>
  </w:style>
  <w:style w:customStyle="1" w:styleId="ImageCaption" w:type="paragraph">
    <w:name w:val="Image Caption"/>
    <w:basedOn w:val="Caption"/>
    <w:pPr>
      <w:spacing w:after="360" w:before="140"/>
      <w:jc w:val="center"/>
    </w:pPr>
    <w:rPr>
      <w:rFonts w:ascii="Calibri" w:cs="Calibri" w:hAnsi="Calibri"/>
      <w:i/>
      <w:color w:val="475569"/>
      <w:sz w:val="18"/>
    </w:rPr>
  </w:style>
  <w:style w:customStyle="1" w:styleId="Figure" w:type="paragraph">
    <w:name w:val="Figure"/>
    <w:basedOn w:val="Normal"/>
  </w:style>
  <w:style w:customStyle="1" w:styleId="CaptionedFigure" w:type="paragraph">
    <w:name w:val="Captioned Figure"/>
    <w:basedOn w:val="Figure"/>
    <w:pPr>
      <w:keepNext/>
      <w:spacing w:after="0" w:before="28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200" w:before="0"/>
    </w:pPr>
    <w:rPr>
      <w:rFonts w:ascii="Calibri" w:cs="Calibri" w:hAnsi="Calibri"/>
      <w:b/>
      <w:color w:val="1E293B"/>
      <w:sz w:val="32"/>
    </w:rPr>
  </w:style>
  <w:style w:styleId="SourceCode" w:type="paragraph">
    <w:name w:val="Source Code"/>
    <w:basedOn w:val="Normal"/>
    <w:qFormat/>
    <w:pPr>
      <w:spacing w:after="40" w:before="40" w:line="240" w:lineRule="auto"/>
      <w:ind w:left="170" w:right="170"/>
      <w:shd w:color="auto" w:fill="F8FAFC" w:val="clear"/>
      <w:pBdr>
        <w:left w:color="2563EB" w:space="8" w:sz="18" w:val="single"/>
      </w:pBdr>
      <w:contextualSpacing/>
    </w:pPr>
    <w:rPr>
      <w:rFonts w:ascii="Menlo" w:cs="Menlo" w:hAnsi="Menlo"/>
      <w:color w:val="0F172A"/>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51" Target="media/rId51.png" /><Relationship Type="http://schemas.openxmlformats.org/officeDocument/2006/relationships/image" Id="rId26" Target="media/rId26.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Chatbot AI Governance Evaluation - Backend Flow</dc:title>
  <dc:creator/>
  <cp:keywords/>
  <dcterms:created xsi:type="dcterms:W3CDTF">2026-07-25T12:41:45Z</dcterms:created>
  <dcterms:modified xsi:type="dcterms:W3CDTF">2026-07-25T12:41:45Z</dcterms:modified>
</cp:coreProperties>
</file>

<file path=docProps/custom.xml><?xml version="1.0" encoding="utf-8"?>
<Properties xmlns="http://schemas.openxmlformats.org/officeDocument/2006/custom-properties" xmlns:vt="http://schemas.openxmlformats.org/officeDocument/2006/docPropsVTypes"/>
</file>