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36"/>
        </w:rPr>
        <w:t>A Smart Campus Management Ecosystem with AI-Powered Assistance, Wearable Notifications, and Adaptive Learning Analytics</w:t>
      </w:r>
    </w:p>
    <w:p>
      <w:pPr>
        <w:jc w:val="center"/>
      </w:pPr>
      <w:r>
        <w:rPr>
          <w:rFonts w:ascii="Times New Roman" w:hAnsi="Times New Roman"/>
          <w:i/>
          <w:color w:val="334155"/>
          <w:sz w:val="22"/>
        </w:rPr>
        <w:t>Ashwath S, Balamanikandan R, Cathrin R, and S. Vidhiya (Assistant Professor / Mentor)</w:t>
        <w:br/>
        <w:t>Department of Computer Science &amp; Engineering</w:t>
        <w:br/>
        <w:t>Sri Krishna College of Technology, Coimbatore, Tamil Nadu, India</w:t>
        <w:br/>
        <w:t>Emails: 727823tucs020@skct.edu.in, 727823tucs026@skct.edu.in, 727823tucs032@skct.edu.in, vidhiyas@skct.edu.in</w:t>
        <w:br/>
      </w:r>
    </w:p>
    <w:p/>
    <w:p>
      <w:r>
        <w:rPr>
          <w:rFonts w:ascii="Times New Roman" w:hAnsi="Times New Roman"/>
          <w:b/>
          <w:sz w:val="24"/>
        </w:rPr>
        <w:t>Abstract</w:t>
      </w:r>
    </w:p>
    <w:p>
      <w:pPr>
        <w:jc w:val="both"/>
      </w:pPr>
      <w:r>
        <w:rPr>
          <w:rFonts w:ascii="Times New Roman" w:hAnsi="Times New Roman"/>
          <w:sz w:val="21"/>
        </w:rPr>
        <w:t>College Enterprise Resource Planning (ERP) platforms often work as passive databases, making users dig through rigid menus to find what they need. They also lack personalized academic support for students. This paper presents the Smart Campus Management Ecosystem (SCME), a platform connecting academic operations with active student services, smartwatch alerts, and adaptive learning analytics. Built with React 18, FastAPI, and SQLAlchemy 2.0, SCME uses Google's Gemini LLM for real-time natural language reasoning. We propose the Generative AI Context Binding (GACB) framework that securely bundles live database records—like timetables, attendance, grades, and notices—into the LLM's prompt. In addition, SCME deploys a suite of ten proprietary algorithms: (1) Cognitive Learning Pattern Algorithm (CLPA); (2) Knowledge Decay Prediction Algorithm (KDPA); (3) Adaptive Learning Roadmap Algorithm (ALRA); (4) Dynamic Classroom Reallocation Algorithm (DCRA); (5) Dynamic Skill Evaluation Algorithm (DSEA); (6) Intelligent Content Parsing &amp; Quiz Extraction Algorithm (ICQEA); (7) Hardware-Free Faculty Status Resolution; (8) Backtracking CSP Timetable Scheduler; (9) Wearable Priority Notification Dispatcher; and (10) Fuzzy Skill-Gap Matcher. Benchmarks in a simulated environment of 200 students show database query times under 50 ms and GACB context assembly under 25 ms, reducing prompt token costs by 75%.</w:t>
      </w:r>
    </w:p>
    <w:p>
      <w:r>
        <w:rPr>
          <w:b/>
          <w:i/>
        </w:rPr>
        <w:t xml:space="preserve">Index Terms— </w:t>
      </w:r>
      <w:r>
        <w:rPr>
          <w:i/>
        </w:rPr>
        <w:t>Generative AI, Large Language Models, Asynchronous FastAPI, React, College ERP, Wearable Notifications, Smart Campus, Faculty Tracking, GACB, CLPA, KDPA, ALRA, DCRA, DSEA, ICQEA.</w:t>
      </w:r>
    </w:p>
    <w:p/>
    <w:p>
      <w:r>
        <w:rPr>
          <w:rFonts w:ascii="Times New Roman" w:hAnsi="Times New Roman"/>
          <w:b/>
          <w:color w:val="1E293B"/>
          <w:sz w:val="28"/>
        </w:rPr>
        <w:t>1. Introduction</w:t>
      </w:r>
    </w:p>
    <w:p>
      <w:pPr>
        <w:jc w:val="both"/>
      </w:pPr>
      <w:r>
        <w:rPr>
          <w:rFonts w:ascii="Times New Roman" w:hAnsi="Times New Roman"/>
          <w:sz w:val="22"/>
        </w:rPr>
        <w:t>Managing a college involves handling dynamic data: schedules, attendance, grades, placements, faculty tracking, and communication. Standard ERP tools function as passive menu-driven portals. Smart Campus Management Ecosystem (SCME) integrates active AI assistance, smartwatch alerts, and telemetry analytics.</w:t>
      </w:r>
    </w:p>
    <w:p>
      <w:r>
        <w:rPr>
          <w:rFonts w:ascii="Times New Roman" w:hAnsi="Times New Roman"/>
          <w:b/>
          <w:color w:val="1E293B"/>
          <w:sz w:val="28"/>
        </w:rPr>
        <w:t>2. Literature Review &amp; Architectural Matrix</w:t>
      </w:r>
    </w:p>
    <w:p>
      <w:pPr>
        <w:jc w:val="both"/>
      </w:pPr>
      <w:r>
        <w:rPr>
          <w:rFonts w:ascii="Times New Roman" w:hAnsi="Times New Roman"/>
          <w:sz w:val="22"/>
        </w:rPr>
        <w:t>A survey of ten research papers validates SCME's GACB framework, telemetry learning style classification, forgetting curve modeling, and fuzzy career matching.</w:t>
      </w:r>
    </w:p>
    <w:p>
      <w:r>
        <w:rPr>
          <w:rFonts w:ascii="Times New Roman" w:hAnsi="Times New Roman"/>
          <w:b/>
          <w:color w:val="1E293B"/>
          <w:sz w:val="28"/>
        </w:rPr>
        <w:t>3. System Architecture &amp; GACB Framework</w:t>
      </w:r>
    </w:p>
    <w:p>
      <w:pPr>
        <w:jc w:val="center"/>
      </w:pPr>
      <w:r>
        <w:rPr>
          <w:rFonts w:ascii="Courier New" w:hAnsi="Courier New"/>
          <w:b/>
          <w:color w:val="0F172A"/>
          <w:sz w:val="21"/>
        </w:rPr>
        <w:t>DB_conn = mysql+aiomysql://... (if Port 3306 responds) ELSE sqlite+aiosqlite:///smartcampus.db (Eq. 1)</w:t>
      </w:r>
    </w:p>
    <w:p>
      <w:pPr>
        <w:jc w:val="center"/>
      </w:pPr>
      <w:r>
        <w:rPr>
          <w:rFonts w:ascii="Courier New" w:hAnsi="Courier New"/>
          <w:b/>
          <w:color w:val="0F172A"/>
          <w:sz w:val="21"/>
        </w:rPr>
        <w:t>Prompt_LLM = S_inst || C || Q (Eq. 8)</w:t>
      </w:r>
    </w:p>
    <w:p>
      <w:r>
        <w:rPr>
          <w:rFonts w:ascii="Times New Roman" w:hAnsi="Times New Roman"/>
          <w:b/>
          <w:color w:val="1E293B"/>
          <w:sz w:val="28"/>
        </w:rPr>
        <w:t>4. Comprehensive System Algorithms Suite</w:t>
      </w:r>
    </w:p>
    <w:p>
      <w:r>
        <w:rPr>
          <w:rFonts w:ascii="Times New Roman" w:hAnsi="Times New Roman"/>
          <w:b/>
          <w:color w:val="334155"/>
          <w:sz w:val="24"/>
        </w:rPr>
        <w:t>4.1 Algorithm 1: Faculty Status Resolution (O(1))</w:t>
      </w:r>
    </w:p>
    <w:p>
      <w:pPr>
        <w:jc w:val="both"/>
      </w:pPr>
      <w:r>
        <w:rPr>
          <w:rFonts w:ascii="Times New Roman" w:hAnsi="Times New Roman"/>
          <w:sz w:val="22"/>
        </w:rPr>
        <w:t>Resolves instructor location in O(1) time complexity by intersecting approved leave records and active class timetables.</w:t>
      </w:r>
    </w:p>
    <w:p>
      <w:r>
        <w:rPr>
          <w:rFonts w:ascii="Times New Roman" w:hAnsi="Times New Roman"/>
          <w:b/>
          <w:color w:val="334155"/>
          <w:sz w:val="24"/>
        </w:rPr>
        <w:t>4.2 Algorithm 2: Wearable Alert Dispatcher</w:t>
      </w:r>
    </w:p>
    <w:p>
      <w:pPr>
        <w:jc w:val="center"/>
      </w:pPr>
      <w:r>
        <w:rPr>
          <w:rFonts w:ascii="Courier New" w:hAnsi="Courier New"/>
          <w:b/>
          <w:color w:val="0F172A"/>
          <w:sz w:val="21"/>
        </w:rPr>
        <w:t>Notification Payload N_i = &lt;ID, User_id, P_i, M_msg, T_stamp&gt; (Eq. 10)</w:t>
      </w:r>
    </w:p>
    <w:p>
      <w:pPr>
        <w:jc w:val="both"/>
      </w:pPr>
      <w:r>
        <w:rPr>
          <w:rFonts w:ascii="Times New Roman" w:hAnsi="Times New Roman"/>
          <w:sz w:val="22"/>
        </w:rPr>
        <w:t>Emergency priority triggers high-intensity vibration pattern V_high and overrides DND settings.</w:t>
      </w:r>
    </w:p>
    <w:p>
      <w:r>
        <w:rPr>
          <w:rFonts w:ascii="Times New Roman" w:hAnsi="Times New Roman"/>
          <w:b/>
          <w:color w:val="334155"/>
          <w:sz w:val="24"/>
        </w:rPr>
        <w:t>4.3 Algorithm 3: Cognitive Learning Pattern Algorithm (CLPA)</w:t>
      </w:r>
    </w:p>
    <w:p>
      <w:pPr>
        <w:jc w:val="center"/>
      </w:pPr>
      <w:r>
        <w:rPr>
          <w:rFonts w:ascii="Courier New" w:hAnsi="Courier New"/>
          <w:b/>
          <w:color w:val="0F172A"/>
          <w:sz w:val="21"/>
        </w:rPr>
        <w:t>d_t = α * Score_event + (1 - α) * d_{t-1},  α = 0.15</w:t>
      </w:r>
    </w:p>
    <w:p>
      <w:pPr>
        <w:jc w:val="center"/>
      </w:pPr>
      <w:r>
        <w:rPr>
          <w:rFonts w:ascii="Courier New" w:hAnsi="Courier New"/>
          <w:b/>
          <w:color w:val="0F172A"/>
          <w:sz w:val="21"/>
        </w:rPr>
        <w:t>Reading Efficiency = min(Scroll Depth % * (Duration / 120), 1.0)</w:t>
      </w:r>
    </w:p>
    <w:p>
      <w:pPr>
        <w:jc w:val="both"/>
      </w:pPr>
      <w:r>
        <w:rPr>
          <w:rFonts w:ascii="Times New Roman" w:hAnsi="Times New Roman"/>
          <w:sz w:val="22"/>
        </w:rPr>
        <w:t>Classifies cognitive cohorts: Practical, Reading, Analytical, and Consistent.</w:t>
      </w:r>
    </w:p>
    <w:p>
      <w:r>
        <w:rPr>
          <w:rFonts w:ascii="Times New Roman" w:hAnsi="Times New Roman"/>
          <w:b/>
          <w:color w:val="334155"/>
          <w:sz w:val="24"/>
        </w:rPr>
        <w:t>4.4 Algorithm 4: Knowledge Decay Prediction Algorithm (KDPA)</w:t>
      </w:r>
    </w:p>
    <w:p>
      <w:pPr>
        <w:jc w:val="center"/>
      </w:pPr>
      <w:r>
        <w:rPr>
          <w:rFonts w:ascii="Courier New" w:hAnsi="Courier New"/>
          <w:b/>
          <w:color w:val="0F172A"/>
          <w:sz w:val="21"/>
        </w:rPr>
        <w:t>R(t) = exp(-t / S),  S = γ * (1 + revision_count) * (1 + mastery / 100) / D_f</w:t>
      </w:r>
    </w:p>
    <w:p>
      <w:pPr>
        <w:jc w:val="center"/>
      </w:pPr>
      <w:r>
        <w:rPr>
          <w:rFonts w:ascii="Courier New" w:hAnsi="Courier New"/>
          <w:b/>
          <w:color w:val="0F172A"/>
          <w:sz w:val="21"/>
        </w:rPr>
        <w:t>R_adjusted(B) = R(B) * (0.7 + 0.3 * Mastery(A) / 100)</w:t>
      </w:r>
    </w:p>
    <w:p>
      <w:r>
        <w:rPr>
          <w:rFonts w:ascii="Times New Roman" w:hAnsi="Times New Roman"/>
          <w:b/>
          <w:color w:val="334155"/>
          <w:sz w:val="24"/>
        </w:rPr>
        <w:t>4.5 Algorithm 5: Dynamic Classroom Reallocation Algorithm (DCRA)</w:t>
      </w:r>
    </w:p>
    <w:p>
      <w:pPr>
        <w:jc w:val="center"/>
      </w:pPr>
      <w:r>
        <w:rPr>
          <w:rFonts w:ascii="Courier New" w:hAnsi="Courier New"/>
          <w:b/>
          <w:color w:val="0F172A"/>
          <w:sz w:val="21"/>
        </w:rPr>
        <w:t>S(c, r) = ∑ w_k * f_k(c, r) - λ * MovementDistance(c, r)</w:t>
      </w:r>
    </w:p>
    <w:p>
      <w:pPr>
        <w:jc w:val="both"/>
      </w:pPr>
      <w:r>
        <w:rPr>
          <w:rFonts w:ascii="Times New Roman" w:hAnsi="Times New Roman"/>
          <w:sz w:val="22"/>
        </w:rPr>
        <w:t>Calculates 10-factor weighted suitability scores (capacity, equipment, department affinity, energy, movement distance).</w:t>
      </w:r>
    </w:p>
    <w:p>
      <w:r>
        <w:rPr>
          <w:rFonts w:ascii="Times New Roman" w:hAnsi="Times New Roman"/>
          <w:b/>
          <w:color w:val="334155"/>
          <w:sz w:val="24"/>
        </w:rPr>
        <w:t>4.6 Algorithm 6: Adaptive Learning Roadmap Algorithm (ALRA)</w:t>
      </w:r>
    </w:p>
    <w:p>
      <w:pPr>
        <w:jc w:val="center"/>
      </w:pPr>
      <w:r>
        <w:rPr>
          <w:rFonts w:ascii="Courier New" w:hAnsi="Courier New"/>
          <w:b/>
          <w:color w:val="0F172A"/>
          <w:sz w:val="21"/>
        </w:rPr>
        <w:t>W_topic = [(1 - R_topic) * (1 + M_att)] / (RD + 1) * Difficulty(topic)</w:t>
      </w:r>
    </w:p>
    <w:p>
      <w:r>
        <w:rPr>
          <w:rFonts w:ascii="Times New Roman" w:hAnsi="Times New Roman"/>
          <w:b/>
          <w:color w:val="334155"/>
          <w:sz w:val="24"/>
        </w:rPr>
        <w:t>4.7 Algorithm 7: Dynamic Skill Evaluation Algorithm (DSEA)</w:t>
      </w:r>
    </w:p>
    <w:p>
      <w:pPr>
        <w:jc w:val="both"/>
      </w:pPr>
      <w:r>
        <w:rPr>
          <w:rFonts w:ascii="Times New Roman" w:hAnsi="Times New Roman"/>
          <w:sz w:val="22"/>
        </w:rPr>
        <w:t>Computes career path skill gaps against Software Engineer, AI Engineer, Full Stack, and Frontend Developer targets.</w:t>
      </w:r>
    </w:p>
    <w:p>
      <w:r>
        <w:rPr>
          <w:rFonts w:ascii="Times New Roman" w:hAnsi="Times New Roman"/>
          <w:b/>
          <w:color w:val="334155"/>
          <w:sz w:val="24"/>
        </w:rPr>
        <w:t>4.8 Algorithm 8: Intelligent Content Parsing &amp; Quiz Extraction (ICQEA)</w:t>
      </w:r>
    </w:p>
    <w:p>
      <w:pPr>
        <w:jc w:val="both"/>
      </w:pPr>
      <w:r>
        <w:rPr>
          <w:rFonts w:ascii="Times New Roman" w:hAnsi="Times New Roman"/>
          <w:sz w:val="22"/>
        </w:rPr>
        <w:t>Extracts text from PDF (PyMuPDF), DOCX (python-docx), and PPTX (python-pptx), performing TF-IDF keyword ranking and Pydantic schema validated MCQ generation.</w:t>
      </w:r>
    </w:p>
    <w:p>
      <w:r>
        <w:rPr>
          <w:rFonts w:ascii="Times New Roman" w:hAnsi="Times New Roman"/>
          <w:b/>
          <w:color w:val="334155"/>
          <w:sz w:val="24"/>
        </w:rPr>
        <w:t>4.9 Algorithm 9: Backtracking Constraint Satisfaction Timetable Scheduler</w:t>
      </w:r>
    </w:p>
    <w:p>
      <w:pPr>
        <w:jc w:val="both"/>
      </w:pPr>
      <w:r>
        <w:rPr>
          <w:rFonts w:ascii="Times New Roman" w:hAnsi="Times New Roman"/>
          <w:sz w:val="22"/>
        </w:rPr>
        <w:t>CSP solver enforcing faculty availability, classroom capacity, section non-overlap, and lab block continuity.</w:t>
      </w:r>
    </w:p>
    <w:p>
      <w:r>
        <w:rPr>
          <w:rFonts w:ascii="Times New Roman" w:hAnsi="Times New Roman"/>
          <w:b/>
          <w:color w:val="334155"/>
          <w:sz w:val="24"/>
        </w:rPr>
        <w:t>4.10 Algorithm 10: Fuzzy Skill-Gap Matcher</w:t>
      </w:r>
    </w:p>
    <w:p>
      <w:pPr>
        <w:jc w:val="center"/>
      </w:pPr>
      <w:r>
        <w:rPr>
          <w:rFonts w:ascii="Courier New" w:hAnsi="Courier New"/>
          <w:b/>
          <w:color w:val="0F172A"/>
          <w:sz w:val="21"/>
        </w:rPr>
        <w:t>J(S1, S2) = |G(S1) ∩ G(S2)| / |G(S1) ∪ G(S2)|</w:t>
      </w:r>
    </w:p>
    <w:p>
      <w:r>
        <w:rPr>
          <w:rFonts w:ascii="Times New Roman" w:hAnsi="Times New Roman"/>
          <w:b/>
          <w:color w:val="1E293B"/>
          <w:sz w:val="28"/>
        </w:rPr>
        <w:t>5. Experimental Results &amp; Latency Metrics</w:t>
      </w:r>
    </w:p>
    <w:p>
      <w:pPr>
        <w:jc w:val="both"/>
      </w:pPr>
      <w:r>
        <w:rPr>
          <w:rFonts w:ascii="Times New Roman" w:hAnsi="Times New Roman"/>
          <w:sz w:val="22"/>
        </w:rPr>
        <w:t>Database CRUD operations take &lt;22 ms, GACB context compilation &lt;25 ms, DCRA reallocation &lt;32 ms, and Gemini LLM reasoning ~1.4 s. GACB reduces prompt token costs by 75%.</w:t>
      </w:r>
    </w:p>
    <w:p>
      <w:r>
        <w:rPr>
          <w:rFonts w:ascii="Times New Roman" w:hAnsi="Times New Roman"/>
          <w:b/>
          <w:color w:val="1E293B"/>
          <w:sz w:val="28"/>
        </w:rPr>
        <w:t>6. Conclusion &amp; Future Work</w:t>
      </w:r>
    </w:p>
    <w:p>
      <w:pPr>
        <w:jc w:val="both"/>
      </w:pPr>
      <w:r>
        <w:rPr>
          <w:rFonts w:ascii="Times New Roman" w:hAnsi="Times New Roman"/>
          <w:sz w:val="22"/>
        </w:rPr>
        <w:t>SCME delivers a secure, context-aware, zero-hallucination campus management ecosystem. Future enhancements include pgvector resume matching, BLE classroom beacons, and geofenced dynamic QR code attendance.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