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09090"/>
          <w:sz w:val="28"/>
        </w:rPr>
        <w:t>FLAGSHIP AI FEATURE DOCUMENTATION</w:t>
        <w:br/>
      </w:r>
      <w:r>
        <w:rPr>
          <w:b/>
          <w:color w:val="E31B23"/>
          <w:sz w:val="44"/>
        </w:rPr>
        <w:t>AI LEARNING INTELLIGENCE ENGINE (CLPA &amp; KDPA)</w:t>
      </w:r>
    </w:p>
    <w:p>
      <w:pPr>
        <w:jc w:val="center"/>
      </w:pPr>
      <w:r>
        <w:t>Smart Campus Management System Architecture Report</w:t>
        <w:br/>
        <w:t>Date: July 2026</w:t>
        <w:br/>
      </w:r>
    </w:p>
    <w:p>
      <w:pPr>
        <w:jc w:val="center"/>
      </w:pPr>
      <w:r>
        <w:rPr>
          <w:color w:val="D3D3D3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E31B23"/>
        </w:rPr>
        <w:t>1. Executive Summary</w:t>
      </w:r>
    </w:p>
    <w:p>
      <w:r>
        <w:t>The AI Learning Intelligence Engine is a flagship neuro-symbolic module integrated within the Smart Campus Management System. The engine continuously observes student learning interactions in real time, classifies their cognitive style, calculates knowledge decay on a per-concept level, and generates explainable study recommendations. The feature consists of two main algorithms working in tandem: the Cognitive Learning Pattern Algorithm (CLPA) and the Knowledge Decay Prediction Algorithm (KDPA).</w:t>
      </w:r>
    </w:p>
    <w:p>
      <w:pPr>
        <w:pStyle w:val="Heading1"/>
      </w:pPr>
      <w:r>
        <w:rPr>
          <w:color w:val="E31B23"/>
        </w:rPr>
        <w:t>2. System Core Algorithms</w:t>
      </w:r>
    </w:p>
    <w:p>
      <w:pPr>
        <w:pStyle w:val="Heading2"/>
      </w:pPr>
      <w:r>
        <w:t>2.1 Cognitive Learning Pattern Algorithm (CLPA)</w:t>
      </w:r>
    </w:p>
    <w:p>
      <w:r>
        <w:t>CLPA tracks student study behavior (scroll speed, reading efficiency, focus flags, compilation success, quiz scores) and updates a multidimensional behavior vector using a rolling reinforcement equation:</w:t>
      </w:r>
    </w:p>
    <w:p>
      <w:pPr>
        <w:jc w:val="center"/>
      </w:pPr>
      <w:r>
        <w:rPr>
          <w:b/>
          <w:i/>
          <w:sz w:val="24"/>
        </w:rPr>
        <w:t>Vector_new = α * Signal_event + (1 - α) * Vector_old   (where α = 0.15)</w:t>
      </w:r>
    </w:p>
    <w:p>
      <w:r>
        <w:t>Students are classified into four dynamic learning styles based on vector weights:</w:t>
      </w:r>
    </w:p>
    <w:p>
      <w:pPr>
        <w:pStyle w:val="ListBullet"/>
      </w:pPr>
      <w:r>
        <w:t>Practical Learner: Demonstrates high code submission and debugging rates.</w:t>
      </w:r>
    </w:p>
    <w:p>
      <w:pPr>
        <w:pStyle w:val="ListBullet"/>
      </w:pPr>
      <w:r>
        <w:t>Reading Learner: High reading duration, scroll efficiency, and document highlight frequencies.</w:t>
      </w:r>
    </w:p>
    <w:p>
      <w:pPr>
        <w:pStyle w:val="ListBullet"/>
      </w:pPr>
      <w:r>
        <w:t>Analytical Learner: High average quiz accuracy and quick solution response times.</w:t>
      </w:r>
    </w:p>
    <w:p>
      <w:pPr>
        <w:pStyle w:val="ListBullet"/>
      </w:pPr>
      <w:r>
        <w:t>Consistent Learner: Displays structured, daily study streaks and platform engagement.</w:t>
      </w:r>
    </w:p>
    <w:p>
      <w:pPr>
        <w:pStyle w:val="Heading2"/>
      </w:pPr>
      <w:r>
        <w:t>2.2 Knowledge Decay Prediction Algorithm (KDPA)</w:t>
      </w:r>
    </w:p>
    <w:p>
      <w:r>
        <w:t>KDPA computes concept retention curves based on the classic Ebbinghaus Forgetting Curve formula:</w:t>
      </w:r>
    </w:p>
    <w:p>
      <w:pPr>
        <w:jc w:val="center"/>
      </w:pPr>
      <w:r>
        <w:rPr>
          <w:b/>
          <w:i/>
          <w:sz w:val="24"/>
        </w:rPr>
        <w:t>R(t) = e^(-t / S)</w:t>
      </w:r>
    </w:p>
    <w:p>
      <w:r>
        <w:t>Where R is retention %, t is the time elapsed in days since the last study session, and memory strength S is defined as:</w:t>
      </w:r>
    </w:p>
    <w:p>
      <w:pPr>
        <w:jc w:val="center"/>
      </w:pPr>
      <w:r>
        <w:rPr>
          <w:b/>
          <w:i/>
        </w:rPr>
        <w:t>S = γ * (1 + revision_count) * (1 + mastery / 100) * (1 / Difficulty_Factor)</w:t>
      </w:r>
    </w:p>
    <w:p>
      <w:r>
        <w:t>Prerequisite dependency checking automatically reduces confidence coefficients in child concepts when root mastery drops below 60%.</w:t>
      </w:r>
    </w:p>
    <w:p>
      <w:pPr>
        <w:pStyle w:val="Heading1"/>
      </w:pPr>
      <w:r>
        <w:rPr>
          <w:color w:val="E31B23"/>
        </w:rPr>
        <w:t>3. Database Schema Design</w:t>
      </w:r>
    </w:p>
    <w:p>
      <w:r>
        <w:t>The engine utilizes three new tables in the MySQL schema:</w:t>
      </w:r>
    </w:p>
    <w:p>
      <w:pPr>
        <w:pStyle w:val="Heading3"/>
      </w:pPr>
      <w:r>
        <w:t>student_learning_interactions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31B23"/>
          </w:tcPr>
          <w:p>
            <w:r>
              <w:rPr>
                <w:b/>
                <w:color w:val="FFFFFF"/>
              </w:rPr>
              <w:t>Column Name</w:t>
            </w:r>
          </w:p>
        </w:tc>
        <w:tc>
          <w:tcPr>
            <w:tcW w:type="dxa" w:w="3120"/>
            <w:shd w:fill="E31B23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fill="E31B2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INT (Primary Key)</w:t>
            </w:r>
          </w:p>
        </w:tc>
        <w:tc>
          <w:tcPr>
            <w:tcW w:type="dxa" w:w="3120"/>
          </w:tcPr>
          <w:p>
            <w:r>
              <w:t>Auto-incrementing interaction identifier.</w:t>
            </w:r>
          </w:p>
        </w:tc>
      </w:tr>
      <w:tr>
        <w:tc>
          <w:tcPr>
            <w:tcW w:type="dxa" w:w="3120"/>
          </w:tcPr>
          <w:p>
            <w:r>
              <w:t>student_id</w:t>
            </w:r>
          </w:p>
        </w:tc>
        <w:tc>
          <w:tcPr>
            <w:tcW w:type="dxa" w:w="3120"/>
          </w:tcPr>
          <w:p>
            <w:r>
              <w:t>INT (Foreign Key)</w:t>
            </w:r>
          </w:p>
        </w:tc>
        <w:tc>
          <w:tcPr>
            <w:tcW w:type="dxa" w:w="3120"/>
          </w:tcPr>
          <w:p>
            <w:r>
              <w:t>Maps to the users table (on delete cascade).</w:t>
            </w:r>
          </w:p>
        </w:tc>
      </w:tr>
      <w:tr>
        <w:tc>
          <w:tcPr>
            <w:tcW w:type="dxa" w:w="3120"/>
          </w:tcPr>
          <w:p>
            <w:r>
              <w:t>interaction_type</w:t>
            </w:r>
          </w:p>
        </w:tc>
        <w:tc>
          <w:tcPr>
            <w:tcW w:type="dxa" w:w="3120"/>
          </w:tcPr>
          <w:p>
            <w:r>
              <w:t>VARCHAR(50)</w:t>
            </w:r>
          </w:p>
        </w:tc>
        <w:tc>
          <w:tcPr>
            <w:tcW w:type="dxa" w:w="3120"/>
          </w:tcPr>
          <w:p>
            <w:r>
              <w:t>Log type: 'reading', 'quiz', 'code', 'login'.</w:t>
            </w:r>
          </w:p>
        </w:tc>
      </w:tr>
      <w:tr>
        <w:tc>
          <w:tcPr>
            <w:tcW w:type="dxa" w:w="3120"/>
          </w:tcPr>
          <w:p>
            <w:r>
              <w:t>metadata_json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Stores duration, scroll depth, compile errors, focus percentages.</w:t>
            </w:r>
          </w:p>
        </w:tc>
      </w:tr>
    </w:tbl>
    <w:p/>
    <w:p>
      <w:pPr>
        <w:pStyle w:val="Heading3"/>
      </w:pPr>
      <w:r>
        <w:t>student_cognitive_profiles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31B23"/>
          </w:tcPr>
          <w:p>
            <w:r>
              <w:rPr>
                <w:b/>
                <w:color w:val="FFFFFF"/>
              </w:rPr>
              <w:t>Column Name</w:t>
            </w:r>
          </w:p>
        </w:tc>
        <w:tc>
          <w:tcPr>
            <w:tcW w:type="dxa" w:w="3120"/>
            <w:shd w:fill="E31B23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fill="E31B2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student_id</w:t>
            </w:r>
          </w:p>
        </w:tc>
        <w:tc>
          <w:tcPr>
            <w:tcW w:type="dxa" w:w="3120"/>
          </w:tcPr>
          <w:p>
            <w:r>
              <w:t>INT (Foreign Key, Unique)</w:t>
            </w:r>
          </w:p>
        </w:tc>
        <w:tc>
          <w:tcPr>
            <w:tcW w:type="dxa" w:w="3120"/>
          </w:tcPr>
          <w:p>
            <w:r>
              <w:t>Unique link to the users table.</w:t>
            </w:r>
          </w:p>
        </w:tc>
      </w:tr>
      <w:tr>
        <w:tc>
          <w:tcPr>
            <w:tcW w:type="dxa" w:w="3120"/>
          </w:tcPr>
          <w:p>
            <w:r>
              <w:t>focus_index</w:t>
            </w:r>
          </w:p>
        </w:tc>
        <w:tc>
          <w:tcPr>
            <w:tcW w:type="dxa" w:w="3120"/>
          </w:tcPr>
          <w:p>
            <w:r>
              <w:t>FLOAT</w:t>
            </w:r>
          </w:p>
        </w:tc>
        <w:tc>
          <w:tcPr>
            <w:tcW w:type="dxa" w:w="3120"/>
          </w:tcPr>
          <w:p>
            <w:r>
              <w:t>Focus retention rolling percentage.</w:t>
            </w:r>
          </w:p>
        </w:tc>
      </w:tr>
      <w:tr>
        <w:tc>
          <w:tcPr>
            <w:tcW w:type="dxa" w:w="3120"/>
          </w:tcPr>
          <w:p>
            <w:r>
              <w:t>reading_efficiency</w:t>
            </w:r>
          </w:p>
        </w:tc>
        <w:tc>
          <w:tcPr>
            <w:tcW w:type="dxa" w:w="3120"/>
          </w:tcPr>
          <w:p>
            <w:r>
              <w:t>FLOAT</w:t>
            </w:r>
          </w:p>
        </w:tc>
        <w:tc>
          <w:tcPr>
            <w:tcW w:type="dxa" w:w="3120"/>
          </w:tcPr>
          <w:p>
            <w:r>
              <w:t>Read speed and depth coefficient (0-1).</w:t>
            </w:r>
          </w:p>
        </w:tc>
      </w:tr>
      <w:tr>
        <w:tc>
          <w:tcPr>
            <w:tcW w:type="dxa" w:w="3120"/>
          </w:tcPr>
          <w:p>
            <w:r>
              <w:t>learning_style</w:t>
            </w:r>
          </w:p>
        </w:tc>
        <w:tc>
          <w:tcPr>
            <w:tcW w:type="dxa" w:w="3120"/>
          </w:tcPr>
          <w:p>
            <w:r>
              <w:t>VARCHAR(50)</w:t>
            </w:r>
          </w:p>
        </w:tc>
        <w:tc>
          <w:tcPr>
            <w:tcW w:type="dxa" w:w="3120"/>
          </w:tcPr>
          <w:p>
            <w:r>
              <w:t>Classified style: e.g. 'Practical Learner'.</w:t>
            </w:r>
          </w:p>
        </w:tc>
      </w:tr>
    </w:tbl>
    <w:p/>
    <w:p>
      <w:pPr>
        <w:pStyle w:val="Heading3"/>
      </w:pPr>
      <w:r>
        <w:t>student_topic_knowledge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31B23"/>
          </w:tcPr>
          <w:p>
            <w:r>
              <w:rPr>
                <w:b/>
                <w:color w:val="FFFFFF"/>
              </w:rPr>
              <w:t>Column Name</w:t>
            </w:r>
          </w:p>
        </w:tc>
        <w:tc>
          <w:tcPr>
            <w:tcW w:type="dxa" w:w="3120"/>
            <w:shd w:fill="E31B23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fill="E31B2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topic</w:t>
            </w:r>
          </w:p>
        </w:tc>
        <w:tc>
          <w:tcPr>
            <w:tcW w:type="dxa" w:w="3120"/>
          </w:tcPr>
          <w:p>
            <w:r>
              <w:t>VARCHAR(200)</w:t>
            </w:r>
          </w:p>
        </w:tc>
        <w:tc>
          <w:tcPr>
            <w:tcW w:type="dxa" w:w="3120"/>
          </w:tcPr>
          <w:p>
            <w:r>
              <w:t>Target syllabus concept name.</w:t>
            </w:r>
          </w:p>
        </w:tc>
      </w:tr>
      <w:tr>
        <w:tc>
          <w:tcPr>
            <w:tcW w:type="dxa" w:w="3120"/>
          </w:tcPr>
          <w:p>
            <w:r>
              <w:t>mastery</w:t>
            </w:r>
          </w:p>
        </w:tc>
        <w:tc>
          <w:tcPr>
            <w:tcW w:type="dxa" w:w="3120"/>
          </w:tcPr>
          <w:p>
            <w:r>
              <w:t>FLOAT</w:t>
            </w:r>
          </w:p>
        </w:tc>
        <w:tc>
          <w:tcPr>
            <w:tcW w:type="dxa" w:w="3120"/>
          </w:tcPr>
          <w:p>
            <w:r>
              <w:t>Dynamic subject proficiency score (0-100).</w:t>
            </w:r>
          </w:p>
        </w:tc>
      </w:tr>
      <w:tr>
        <w:tc>
          <w:tcPr>
            <w:tcW w:type="dxa" w:w="3120"/>
          </w:tcPr>
          <w:p>
            <w:r>
              <w:t>retention</w:t>
            </w:r>
          </w:p>
        </w:tc>
        <w:tc>
          <w:tcPr>
            <w:tcW w:type="dxa" w:w="3120"/>
          </w:tcPr>
          <w:p>
            <w:r>
              <w:t>FLOAT</w:t>
            </w:r>
          </w:p>
        </w:tc>
        <w:tc>
          <w:tcPr>
            <w:tcW w:type="dxa" w:w="3120"/>
          </w:tcPr>
          <w:p>
            <w:r>
              <w:t>Memory retention percentage (forgetting curve).</w:t>
            </w:r>
          </w:p>
        </w:tc>
      </w:tr>
      <w:tr>
        <w:tc>
          <w:tcPr>
            <w:tcW w:type="dxa" w:w="3120"/>
          </w:tcPr>
          <w:p>
            <w:r>
              <w:t>decay_risk</w:t>
            </w:r>
          </w:p>
        </w:tc>
        <w:tc>
          <w:tcPr>
            <w:tcW w:type="dxa" w:w="3120"/>
          </w:tcPr>
          <w:p>
            <w:r>
              <w:t>FLOAT</w:t>
            </w:r>
          </w:p>
        </w:tc>
        <w:tc>
          <w:tcPr>
            <w:tcW w:type="dxa" w:w="3120"/>
          </w:tcPr>
          <w:p>
            <w:r>
              <w:t>Computed decay risk: 100 - retention.</w:t>
            </w:r>
          </w:p>
        </w:tc>
      </w:tr>
    </w:tbl>
    <w:p/>
    <w:p>
      <w:pPr>
        <w:pStyle w:val="Heading1"/>
      </w:pPr>
      <w:r>
        <w:rPr>
          <w:color w:val="E31B23"/>
        </w:rPr>
        <w:t>4. REST API Endpoint Specifications</w:t>
      </w:r>
    </w:p>
    <w:p>
      <w:pPr>
        <w:pStyle w:val="Heading3"/>
      </w:pPr>
      <w:r>
        <w:t>1. Ingest Learning Event: POST /api/learning-intelligence/track</w:t>
      </w:r>
    </w:p>
    <w:p>
      <w:r>
        <w:t>Payload schema:</w:t>
      </w:r>
    </w:p>
    <w:p>
      <w:pPr>
        <w:ind w:left="720"/>
      </w:pPr>
      <w:r>
        <w:rPr>
          <w:rFonts w:ascii="Consolas" w:hAnsi="Consolas"/>
          <w:sz w:val="20"/>
        </w:rPr>
        <w:t>{</w:t>
        <w:br/>
        <w:t xml:space="preserve">  "interaction_type": "reading",</w:t>
        <w:br/>
        <w:t xml:space="preserve">  "subject": "Data Structures",</w:t>
        <w:br/>
        <w:t xml:space="preserve">  "topic": "Linked Lists",</w:t>
        <w:br/>
        <w:t xml:space="preserve">  "metadata_payload": {"scroll_depth": 90, "duration_seconds": 320}</w:t>
        <w:br/>
        <w:t>}</w:t>
      </w:r>
    </w:p>
    <w:p>
      <w:pPr>
        <w:pStyle w:val="Heading3"/>
      </w:pPr>
      <w:r>
        <w:t>2. Retrieve Dashboard Profile: GET /api/learning-intelligence/profile</w:t>
      </w:r>
    </w:p>
    <w:p>
      <w:r>
        <w:t>Returns cognitive styles, Ebbinghaus decay risks, and personalized, explainable study recommendations.</w:t>
      </w:r>
    </w:p>
    <w:p>
      <w:pPr>
        <w:pStyle w:val="Heading3"/>
      </w:pPr>
      <w:r>
        <w:t>3. Faculty Summary Analytics: GET /api/learning-intelligence/faculty-analytics</w:t>
      </w:r>
    </w:p>
    <w:p>
      <w:r>
        <w:t>Returns average class retention scores, worst-performing concepts, and student decay warnings.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