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Amara Okafor</w:t>
      </w:r>
    </w:p>
    <w:p>
      <w:pPr>
        <w:pStyle w:val="Heading1"/>
      </w:pPr>
      <w:r>
        <w:t>Profile</w:t>
      </w:r>
    </w:p>
    <w:p>
      <w:r>
        <w:t>Senior UX Designer with nine years of experience leading design for financial-services and e-commerce products. Ottawa, Ontario. Contract hourly rate: $95/hour. amara.okafor@example.com</w:t>
      </w:r>
    </w:p>
    <w:p>
      <w:pPr>
        <w:pStyle w:val="Heading1"/>
      </w:pPr>
      <w:r>
        <w:t>Experience</w:t>
      </w:r>
    </w:p>
    <w:p>
      <w:r>
        <w:t>Lumen Digital — Senior UX Designer, 2019–2024. Led the end-to-end redesign of a retail-banking mobile app used by 1.2 million customers; the redesign raised the app's NPS from 31 to 58 within a year. Managed a team of 6 designers and ran quarterly usability benchmarks.</w:t>
      </w:r>
    </w:p>
    <w:p>
      <w:r>
        <w:t>Craft&amp;Pixel Studio — UX Designer, 2016–2019. Built and maintained design systems for three e-commerce clients; introduced design tokens and cut design-to-dev handoff time by a third.</w:t>
      </w:r>
    </w:p>
    <w:p>
      <w:pPr>
        <w:pStyle w:val="Heading1"/>
      </w:pPr>
      <w:r>
        <w:t>Skills</w:t>
      </w:r>
    </w:p>
    <w:p>
      <w:r>
        <w:t>Figma, design tokens, design systems, WCAG 2.2 accessibility, usability testing, journey mapping, stakeholder workshops.</w:t>
      </w:r>
    </w:p>
    <w:p>
      <w:pPr>
        <w:pStyle w:val="Heading1"/>
      </w:pPr>
      <w:r>
        <w:t>Education</w:t>
      </w:r>
    </w:p>
    <w:p>
      <w:r>
        <w:t>Master of Design (MDes), Carleton University,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