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Benefits Summary</w:t>
      </w:r>
    </w:p>
    <w:p>
      <w:pPr>
        <w:pStyle w:val="Heading1"/>
      </w:pPr>
      <w:r>
        <w:t>Health</w:t>
      </w:r>
    </w:p>
    <w:p>
      <w:r>
        <w:t>All permanent employees receive a health spending account of $2,500 per year, plus standard extended health and dental coverage.</w:t>
      </w:r>
    </w:p>
    <w:p>
      <w:pPr>
        <w:pStyle w:val="Heading1"/>
      </w:pPr>
      <w:r>
        <w:t>Time off</w:t>
      </w:r>
    </w:p>
    <w:p>
      <w:r>
        <w:t>The base vacation allowance is 4 weeks per year, rising to 5 weeks after five years of service. Offices close between December 25 and January 1.</w:t>
      </w:r>
    </w:p>
    <w:p>
      <w:pPr>
        <w:pStyle w:val="Heading1"/>
      </w:pPr>
      <w:r>
        <w:t>Growth</w:t>
      </w:r>
    </w:p>
    <w:p>
      <w:r>
        <w:t>Each employee has a professional development budget of $1,800 per year for courses, conferences, or certifications.</w:t>
      </w:r>
    </w:p>
    <w:p>
      <w:pPr>
        <w:pStyle w:val="Heading1"/>
      </w:pPr>
      <w:r>
        <w:t>Family</w:t>
      </w:r>
    </w:p>
    <w:p>
      <w:r>
        <w:t>Parental leave is topped up to 93% of salary for 18 weeks.</w:t>
      </w:r>
    </w:p>
    <w:p>
      <w:pPr>
        <w:pStyle w:val="Heading1"/>
      </w:pPr>
      <w:r>
        <w:t>Ways of working</w:t>
      </w:r>
    </w:p>
    <w:p>
      <w:r>
        <w:t>Hybrid policy: a minimum of 2 days per week in the office, coordinated within each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