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Elena Petrova</w:t>
      </w:r>
    </w:p>
    <w:p>
      <w:pPr>
        <w:pStyle w:val="Heading1"/>
      </w:pPr>
      <w:r>
        <w:t>Profile</w:t>
      </w:r>
    </w:p>
    <w:p>
      <w:r>
        <w:t>Service Designer focused on public-sector service transformation. Toronto, Ontario. Contract hourly rate: $105/hour. elena.petrova@example.com</w:t>
      </w:r>
    </w:p>
    <w:p>
      <w:pPr>
        <w:pStyle w:val="Heading1"/>
      </w:pPr>
      <w:r>
        <w:t>Experience</w:t>
      </w:r>
    </w:p>
    <w:p>
      <w:r>
        <w:t>GovConnect Agency — Lead Service Designer, 2019–2025. Redesigned a municipal permit application service end to end; average processing time fell from 21 days to 6 days and call-centre volume dropped by half. Facilitated co-design sessions with residents and case officers.</w:t>
      </w:r>
    </w:p>
    <w:p>
      <w:r>
        <w:t>Sberbank Digital — Service Designer, 2015–2019. Mapped and redesigned onboarding journeys for retail banking products.</w:t>
      </w:r>
    </w:p>
    <w:p>
      <w:pPr>
        <w:pStyle w:val="Heading1"/>
      </w:pPr>
      <w:r>
        <w:t>Skills</w:t>
      </w:r>
    </w:p>
    <w:p>
      <w:r>
        <w:t>Service blueprinting, journey mapping, co-design facilitation, prototyping, qualitative research, stakeholder alignment.</w:t>
      </w:r>
    </w:p>
    <w:p>
      <w:pPr>
        <w:pStyle w:val="Heading1"/>
      </w:pPr>
      <w:r>
        <w:t>Education</w:t>
      </w:r>
    </w:p>
    <w:p>
      <w:r>
        <w:t>MA Service Design, Royal College of Art, 2015.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