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8640"/>
            <w:shd w:val="clear" w:color="auto" w:fill="1F4E79"/>
          </w:tcPr>
          <w:p>
            <w:pPr>
              <w:jc w:val="center"/>
            </w:pPr>
            <w:r>
              <w:rPr>
                <w:sz w:val="8"/>
              </w:rPr>
              <w:t xml:space="preserve"> </w:t>
            </w:r>
          </w:p>
        </w:tc>
      </w:tr>
    </w:tbl>
    <w:p/>
    <w:p>
      <w:pPr>
        <w:spacing w:after="40"/>
        <w:jc w:val="center"/>
      </w:pPr>
      <w:r>
        <w:rPr>
          <w:rFonts w:ascii="Calibri" w:hAnsi="Calibri"/>
          <w:b w:val="0"/>
          <w:i/>
          <w:color w:val="505050"/>
          <w:sz w:val="22"/>
        </w:rPr>
        <w:t>MSc Computer Networks and Cyber Security</w:t>
      </w:r>
    </w:p>
    <w:p>
      <w:pPr>
        <w:spacing w:after="360"/>
        <w:jc w:val="center"/>
        <w:pBdr>
          <w:bottom w:val="single" w:sz="8" w:space="4" w:color="2E75B6"/>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8640"/>
            <w:shd w:val="clear" w:color="auto" w:fill="2E75B6"/>
            <w:tcBorders>
              <w:top w:val="single" w:sz="6" w:space="0" w:color="1F4E79"/>
              <w:bottom w:val="single" w:sz="6" w:space="0" w:color="1F4E79"/>
            </w:tcBorders>
            <w:tcMar>
              <w:top w:w="200" w:type="dxa"/>
              <w:bottom w:w="200" w:type="dxa"/>
              <w:left w:w="200" w:type="dxaSimple"/>
              <w:right w:w="200" w:type="dxaSimple"/>
            </w:tcMar>
          </w:tcPr>
          <w:p>
            <w:pPr>
              <w:spacing w:before="280" w:after="280"/>
              <w:jc w:val="center"/>
            </w:pPr>
            <w:r>
              <w:rPr>
                <w:rFonts w:ascii="Calibri" w:hAnsi="Calibri"/>
                <w:b/>
                <w:i w:val="0"/>
                <w:color w:val="FFFFFF"/>
                <w:sz w:val="44"/>
              </w:rPr>
              <w:t>Network Architecture Design</w:t>
              <w:br/>
              <w:t>for a Large-Scale Cloud Data Center</w:t>
            </w:r>
          </w:p>
        </w:tc>
      </w:tr>
    </w:tbl>
    <w:p>
      <w:pPr>
        <w:spacing w:after="120"/>
      </w:pPr>
    </w:p>
    <w:p>
      <w:pPr>
        <w:spacing w:after="600"/>
        <w:jc w:val="center"/>
      </w:pPr>
      <w:r>
        <w:rPr>
          <w:rFonts w:ascii="Calibri" w:hAnsi="Calibri"/>
          <w:b/>
          <w:i w:val="0"/>
          <w:color w:val="1E5AA0"/>
          <w:sz w:val="26"/>
        </w:rPr>
        <w:t>Coursework Assignment 1</w:t>
      </w:r>
    </w:p>
    <w:tbl>
      <w:tblPr>
        <w:tblW w:type="auto" w:w="0"/>
        <w:tblLook w:firstColumn="1" w:firstRow="1" w:lastColumn="0" w:lastRow="0" w:noHBand="0" w:noVBand="1" w:val="04A0"/>
        <w:tblBorders>
          <w:top w:val="none"/>
          <w:left w:val="none"/>
          <w:bottom w:val="none"/>
          <w:right w:val="none"/>
          <w:insideH w:val="none"/>
          <w:insideV w:val="none"/>
        </w:tblBorders>
      </w:tblPr>
      <w:tblGrid>
        <w:gridCol w:w="2880"/>
        <w:gridCol w:w="6480"/>
      </w:tblGrid>
      <w:tr>
        <w:trPr>
          <w:trHeight w:val="480"/>
        </w:trPr>
        <w:tc>
          <w:tcPr>
            <w:tcW w:type="dxa" w:w="4320"/>
            <w:shd w:val="clear" w:color="auto" w:fill="EBF3FB"/>
          </w:tcPr>
          <w:p>
            <w:pPr>
              <w:jc w:val="right"/>
            </w:pPr>
            <w:r>
              <w:rPr>
                <w:rFonts w:ascii="Calibri" w:hAnsi="Calibri"/>
                <w:b/>
                <w:i w:val="0"/>
                <w:color w:val="1E5AA0"/>
                <w:sz w:val="22"/>
              </w:rPr>
              <w:t>Student Name :</w:t>
            </w:r>
          </w:p>
        </w:tc>
        <w:tc>
          <w:tcPr>
            <w:tcW w:type="dxa" w:w="4320"/>
            <w:shd w:val="clear" w:color="auto" w:fill="EBF3FB"/>
          </w:tcPr>
          <w:p>
            <w:pPr>
              <w:jc w:val="left"/>
            </w:pPr>
            <w:r>
              <w:rPr>
                <w:rFonts w:ascii="Calibri" w:hAnsi="Calibri"/>
                <w:b w:val="0"/>
                <w:i w:val="0"/>
                <w:color w:val="1E1E1E"/>
                <w:sz w:val="22"/>
              </w:rPr>
              <w:t xml:space="preserve">  Ashwin Khatiwada</w:t>
            </w:r>
          </w:p>
        </w:tc>
      </w:tr>
      <w:tr>
        <w:trPr>
          <w:trHeight w:val="480"/>
        </w:trPr>
        <w:tc>
          <w:tcPr>
            <w:tcW w:type="dxa" w:w="4320"/>
            <w:shd w:val="clear" w:color="auto" w:fill="FFFFFF"/>
          </w:tcPr>
          <w:p>
            <w:pPr>
              <w:jc w:val="right"/>
            </w:pPr>
            <w:r>
              <w:rPr>
                <w:rFonts w:ascii="Calibri" w:hAnsi="Calibri"/>
                <w:b/>
                <w:i w:val="0"/>
                <w:color w:val="1E5AA0"/>
                <w:sz w:val="22"/>
              </w:rPr>
              <w:t>Module :</w:t>
            </w:r>
          </w:p>
        </w:tc>
        <w:tc>
          <w:tcPr>
            <w:tcW w:type="dxa" w:w="4320"/>
            <w:shd w:val="clear" w:color="auto" w:fill="FFFFFF"/>
          </w:tcPr>
          <w:p>
            <w:pPr>
              <w:jc w:val="left"/>
            </w:pPr>
            <w:r>
              <w:rPr>
                <w:rFonts w:ascii="Calibri" w:hAnsi="Calibri"/>
                <w:b w:val="0"/>
                <w:i w:val="0"/>
                <w:color w:val="1E1E1E"/>
                <w:sz w:val="22"/>
              </w:rPr>
              <w:t xml:space="preserve">  Advanced Network Architecture</w:t>
            </w:r>
          </w:p>
        </w:tc>
      </w:tr>
      <w:tr>
        <w:trPr>
          <w:trHeight w:val="480"/>
        </w:trPr>
        <w:tc>
          <w:tcPr>
            <w:tcW w:type="dxa" w:w="4320"/>
            <w:shd w:val="clear" w:color="auto" w:fill="EBF3FB"/>
          </w:tcPr>
          <w:p>
            <w:pPr>
              <w:jc w:val="right"/>
            </w:pPr>
            <w:r>
              <w:rPr>
                <w:rFonts w:ascii="Calibri" w:hAnsi="Calibri"/>
                <w:b/>
                <w:i w:val="0"/>
                <w:color w:val="1E5AA0"/>
                <w:sz w:val="22"/>
              </w:rPr>
              <w:t>Submission Date :</w:t>
            </w:r>
          </w:p>
        </w:tc>
        <w:tc>
          <w:tcPr>
            <w:tcW w:type="dxa" w:w="4320"/>
            <w:shd w:val="clear" w:color="auto" w:fill="EBF3FB"/>
          </w:tcPr>
          <w:p>
            <w:pPr>
              <w:jc w:val="left"/>
            </w:pPr>
            <w:r>
              <w:rPr>
                <w:rFonts w:ascii="Calibri" w:hAnsi="Calibri"/>
                <w:b w:val="0"/>
                <w:i w:val="0"/>
                <w:color w:val="1E1E1E"/>
                <w:sz w:val="22"/>
              </w:rPr>
              <w:t xml:space="preserve">  20 May 2026</w:t>
            </w:r>
          </w:p>
        </w:tc>
      </w:tr>
      <w:tr>
        <w:trPr>
          <w:trHeight w:val="480"/>
        </w:trPr>
        <w:tc>
          <w:tcPr>
            <w:tcW w:type="dxa" w:w="4320"/>
            <w:shd w:val="clear" w:color="auto" w:fill="FFFFFF"/>
          </w:tcPr>
          <w:p>
            <w:pPr>
              <w:jc w:val="right"/>
            </w:pPr>
            <w:r>
              <w:rPr>
                <w:rFonts w:ascii="Calibri" w:hAnsi="Calibri"/>
                <w:b/>
                <w:i w:val="0"/>
                <w:color w:val="1E5AA0"/>
                <w:sz w:val="22"/>
              </w:rPr>
              <w:t>Word Count :</w:t>
            </w:r>
          </w:p>
        </w:tc>
        <w:tc>
          <w:tcPr>
            <w:tcW w:type="dxa" w:w="4320"/>
            <w:shd w:val="clear" w:color="auto" w:fill="FFFFFF"/>
          </w:tcPr>
          <w:p>
            <w:pPr>
              <w:jc w:val="left"/>
            </w:pPr>
            <w:r>
              <w:rPr>
                <w:rFonts w:ascii="Calibri" w:hAnsi="Calibri"/>
                <w:b w:val="0"/>
                <w:i w:val="0"/>
                <w:color w:val="1E1E1E"/>
                <w:sz w:val="22"/>
              </w:rPr>
              <w:t xml:space="preserve">  Approximately 3,200 words</w:t>
            </w:r>
          </w:p>
        </w:tc>
      </w:tr>
    </w:tbl>
    <w:p>
      <w:pPr>
        <w:spacing w:after="800"/>
      </w:pPr>
    </w:p>
    <w:tbl>
      <w:tblPr>
        <w:tblW w:type="auto" w:w="0"/>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2880"/>
            <w:shd w:val="clear" w:color="auto" w:fill="1F4E79"/>
          </w:tcPr>
          <w:p>
            <w:r>
              <w:rPr>
                <w:sz w:val="8"/>
              </w:rPr>
              <w:t xml:space="preserve"> </w:t>
            </w:r>
          </w:p>
        </w:tc>
        <w:tc>
          <w:tcPr>
            <w:tcW w:type="dxa" w:w="4320"/>
            <w:shd w:val="clear" w:color="auto" w:fill="2E75B6"/>
          </w:tcPr>
          <w:p>
            <w:r>
              <w:rPr>
                <w:sz w:val="8"/>
              </w:rPr>
              <w:t xml:space="preserve"> </w:t>
            </w:r>
          </w:p>
        </w:tc>
        <w:tc>
          <w:tcPr>
            <w:tcW w:type="dxa" w:w="2160"/>
            <w:shd w:val="clear" w:color="auto" w:fill="9DC3E6"/>
          </w:tcPr>
          <w:p>
            <w:r>
              <w:rPr>
                <w:sz w:val="8"/>
              </w:rPr>
              <w:t xml:space="preserve"> </w:t>
            </w:r>
          </w:p>
        </w:tc>
      </w:tr>
    </w:tbl>
    <w:p>
      <w:r>
        <w:br w:type="page"/>
      </w:r>
    </w:p>
    <w:p>
      <w:pPr>
        <w:pStyle w:val="Heading1"/>
        <w:spacing w:before="320" w:after="120"/>
        <w:pBdr>
          <w:bottom w:val="single" w:sz="12" w:space="4" w:color="1F4E79"/>
        </w:pBdr>
      </w:pPr>
      <w:r>
        <w:rPr>
          <w:rFonts w:ascii="Times New Roman" w:hAnsi="Times New Roman"/>
          <w:b/>
          <w:i w:val="0"/>
          <w:color w:val="00467F"/>
          <w:sz w:val="28"/>
        </w:rPr>
        <w:t>Introduction</w:t>
      </w:r>
    </w:p>
    <w:p>
      <w:pPr>
        <w:spacing w:after="160" w:line="360" w:lineRule="exact"/>
        <w:ind w:firstLine="432"/>
        <w:jc w:val="both"/>
      </w:pPr>
      <w:r>
        <w:rPr>
          <w:rFonts w:ascii="Times New Roman" w:hAnsi="Times New Roman"/>
          <w:b w:val="0"/>
          <w:i w:val="0"/>
          <w:sz w:val="24"/>
        </w:rPr>
        <w:t>The modern cloud data center sits at the heart of digital infrastructure, yet many organisations still operate on network designs that were never built to handle today's workloads. As a Senior Network Architect at a multinational cloud service provider, the task at hand is to address persistent performance degradation, traffic congestion, and inconsistent Quality of Service (QoS) across the data center environment. These are not minor inconveniences; when latency spikes or bandwidth becomes constrained, it directly affects thousands of downstream customers and the services they depend on.</w:t>
      </w:r>
    </w:p>
    <w:p>
      <w:pPr>
        <w:spacing w:after="160" w:line="360" w:lineRule="exact"/>
        <w:ind w:firstLine="432"/>
        <w:jc w:val="both"/>
      </w:pPr>
      <w:r>
        <w:rPr>
          <w:rFonts w:ascii="Times New Roman" w:hAnsi="Times New Roman"/>
          <w:b w:val="0"/>
          <w:i w:val="0"/>
          <w:sz w:val="24"/>
        </w:rPr>
        <w:t>This report takes a practical approach to tackling these challenges. It examines the case for migrating to a Spine-Leaf network architecture, explores protocol-level enhancements and traffic engineering strategies, identifies the right performance metrics and monitoring tooling, and designs a redundancy and security posture capable of keeping the network resilient at scale. Where appropriate, the reasoning behind each recommendation is grounded in both established literature and the operational realities of large-scale cloud environments.</w:t>
      </w:r>
    </w:p>
    <w:p>
      <w:pPr>
        <w:pStyle w:val="Heading1"/>
        <w:spacing w:before="320" w:after="120"/>
        <w:pBdr>
          <w:bottom w:val="single" w:sz="12" w:space="4" w:color="1F4E79"/>
        </w:pBdr>
      </w:pPr>
      <w:r>
        <w:rPr>
          <w:rFonts w:ascii="Times New Roman" w:hAnsi="Times New Roman"/>
          <w:b/>
          <w:i w:val="0"/>
          <w:color w:val="00467F"/>
          <w:sz w:val="28"/>
        </w:rPr>
        <w:t>1. Network Architecture Analysis</w:t>
      </w:r>
    </w:p>
    <w:p>
      <w:pPr>
        <w:pStyle w:val="Heading2"/>
        <w:spacing w:before="240" w:after="80"/>
      </w:pPr>
      <w:r>
        <w:rPr>
          <w:rFonts w:ascii="Times New Roman" w:hAnsi="Times New Roman"/>
          <w:b/>
          <w:i w:val="0"/>
          <w:color w:val="005AA0"/>
          <w:sz w:val="24"/>
        </w:rPr>
        <w:t>1.1 The Case for Spine-Leaf Architecture</w:t>
      </w:r>
    </w:p>
    <w:p>
      <w:pPr>
        <w:spacing w:after="160" w:line="360" w:lineRule="exact"/>
        <w:ind w:firstLine="432"/>
        <w:jc w:val="both"/>
      </w:pPr>
      <w:r>
        <w:rPr>
          <w:rFonts w:ascii="Times New Roman" w:hAnsi="Times New Roman"/>
          <w:b w:val="0"/>
          <w:i w:val="0"/>
          <w:sz w:val="24"/>
        </w:rPr>
        <w:t>When diagnosing the root cause of congestion and inconsistent QoS in a data center environment, the network topology is almost always the first place to look. Traditional three-tier architectures, built around a core, distribution, and access layer hierarchy, made good sense in an era when most traffic moved vertically, from clients to servers and back. That pattern no longer holds. In modern cloud environments, the dominant traffic pattern is east-west: server to server, microservice to microservice, storage node to compute node. The three-tier model was never designed for this, and the result is predictable: bottlenecks at the distribution layer, variable latency depending on which paths traffic happens to take, and limited horizontal scalability.</w:t>
      </w:r>
    </w:p>
    <w:p>
      <w:pPr>
        <w:spacing w:after="160" w:line="360" w:lineRule="exact"/>
        <w:ind w:firstLine="432"/>
        <w:jc w:val="both"/>
      </w:pPr>
      <w:r>
        <w:rPr>
          <w:rFonts w:ascii="Times New Roman" w:hAnsi="Times New Roman"/>
          <w:b w:val="0"/>
          <w:i w:val="0"/>
          <w:sz w:val="24"/>
        </w:rPr>
        <w:t>Spine-Leaf addresses this directly. The topology is straightforward: every leaf switch connects to every spine switch, and every server or endpoint connects to a leaf. There is no hierarchical aggregation point where congestion can accumulate. Crucially, every server-to-server path traverses exactly the same number of hops (one leaf, one spine, one leaf) regardless of where the source and destination sit in the fabric. This equal-cost multipath (ECMP) property eliminates the latency variance that plagues three-tier designs and makes QoS planning far more deterministic [1].</w:t>
      </w:r>
    </w:p>
    <w:p>
      <w:pPr>
        <w:spacing w:after="200"/>
        <w:jc w:val="center"/>
      </w:pPr>
      <w:r>
        <w:rPr>
          <w:rFonts w:ascii="Times New Roman" w:hAnsi="Times New Roman"/>
          <w:b/>
          <w:i w:val="0"/>
          <w:sz w:val="20"/>
        </w:rPr>
        <w:t>Figure 1: Spine-Leaf Topology Diagram</w:t>
      </w:r>
    </w:p>
    <w:p>
      <w:pPr>
        <w:spacing w:after="0"/>
        <w:ind w:left="720"/>
      </w:pPr>
      <w:r>
        <w:rPr>
          <w:rFonts w:ascii="Courier New" w:hAnsi="Courier New"/>
          <w:sz w:val="18"/>
        </w:rPr>
        <w:t xml:space="preserve">  [Spine 1] == [Spine 2] == [Spine 3] == [Spine 4]</w:t>
      </w:r>
    </w:p>
    <w:p>
      <w:pPr>
        <w:spacing w:after="0"/>
        <w:ind w:left="720"/>
      </w:pPr>
      <w:r>
        <w:rPr>
          <w:rFonts w:ascii="Courier New" w:hAnsi="Courier New"/>
          <w:sz w:val="18"/>
        </w:rPr>
        <w:t xml:space="preserve">    |   \       |   \       |   \       |   \</w:t>
      </w:r>
    </w:p>
    <w:p>
      <w:pPr>
        <w:spacing w:after="0"/>
        <w:ind w:left="720"/>
      </w:pPr>
      <w:r>
        <w:rPr>
          <w:rFonts w:ascii="Courier New" w:hAnsi="Courier New"/>
          <w:sz w:val="18"/>
        </w:rPr>
        <w:t xml:space="preserve"> [Leaf1][Leaf2][Leaf3][Leaf4][Leaf5][Leaf6][Leaf7][Leaf8]</w:t>
      </w:r>
    </w:p>
    <w:p>
      <w:pPr>
        <w:spacing w:after="0"/>
        <w:ind w:left="720"/>
      </w:pPr>
      <w:r>
        <w:rPr>
          <w:rFonts w:ascii="Courier New" w:hAnsi="Courier New"/>
          <w:sz w:val="18"/>
        </w:rPr>
        <w:t xml:space="preserve">   |       |      |      |      |      |      |      |</w:t>
      </w:r>
    </w:p>
    <w:p>
      <w:pPr>
        <w:spacing w:after="0"/>
        <w:ind w:left="720"/>
      </w:pPr>
      <w:r>
        <w:rPr>
          <w:rFonts w:ascii="Courier New" w:hAnsi="Courier New"/>
          <w:sz w:val="18"/>
        </w:rPr>
        <w:t>[Servers][Svrs] ...                             [Servers]</w:t>
      </w:r>
    </w:p>
    <w:p/>
    <w:p>
      <w:pPr>
        <w:spacing w:after="160" w:line="360" w:lineRule="exact"/>
        <w:ind w:firstLine="432"/>
        <w:jc w:val="both"/>
      </w:pPr>
      <w:r>
        <w:rPr>
          <w:rFonts w:ascii="Times New Roman" w:hAnsi="Times New Roman"/>
          <w:b w:val="0"/>
          <w:i w:val="0"/>
          <w:sz w:val="24"/>
        </w:rPr>
        <w:t>Scalability is another key advantage. Adding capacity to a three-tier network often requires forklift upgrades at the distribution or core layer, which are expensive, disruptive, and risky. With Spine-Leaf, leaf switches are added as server count grows, and spine switches are added when more bandwidth between leaves is needed. The architecture scales horizontally without structural change, which is exactly what a cloud provider needs when demand is unpredictable and often spikes rapidly [2].</w:t>
      </w:r>
    </w:p>
    <w:p>
      <w:pPr>
        <w:pStyle w:val="Heading2"/>
        <w:spacing w:before="240" w:after="80"/>
      </w:pPr>
      <w:r>
        <w:rPr>
          <w:rFonts w:ascii="Times New Roman" w:hAnsi="Times New Roman"/>
          <w:b/>
          <w:i w:val="0"/>
          <w:color w:val="005AA0"/>
          <w:sz w:val="24"/>
        </w:rPr>
        <w:t>1.2 Comparison with Traditional Three-Tier Architecture</w:t>
      </w:r>
    </w:p>
    <w:p>
      <w:pPr>
        <w:spacing w:after="160" w:line="360" w:lineRule="exact"/>
        <w:ind w:firstLine="432"/>
        <w:jc w:val="both"/>
      </w:pPr>
      <w:r>
        <w:rPr>
          <w:rFonts w:ascii="Times New Roman" w:hAnsi="Times New Roman"/>
          <w:b w:val="0"/>
          <w:i w:val="0"/>
          <w:sz w:val="24"/>
        </w:rPr>
        <w:t>The differences between these two architectures become particularly stark under load. In a three-tier design, oversubscription ratios at the distribution layer can reach 8:1 or higher in heavily loaded environments, meaning multiple access-layer switches compete for a shared uplink pool. The result is exactly the congestion pattern described in the scenario. Spine-Leaf, by contrast, typically operates at much lower oversubscription ratios, often 1:1 in fully cabled deployments, because every leaf has a direct path to every spine.</w:t>
      </w:r>
    </w:p>
    <w:p>
      <w:pPr>
        <w:spacing w:after="160" w:line="360" w:lineRule="exact"/>
        <w:ind w:firstLine="432"/>
        <w:jc w:val="both"/>
      </w:pPr>
      <w:r>
        <w:rPr>
          <w:rFonts w:ascii="Times New Roman" w:hAnsi="Times New Roman"/>
          <w:b w:val="0"/>
          <w:i w:val="0"/>
          <w:sz w:val="24"/>
        </w:rPr>
        <w:t>Latency profiles also differ significantly. A typical three-tier path might introduce 5 to 15 ms of round-trip latency under load due to queuing at aggregation points. In a Spine-Leaf fabric with modern 25G/100G leaf and 100G/400G spine links, RTT between servers can be held below 1 ms under normal operating conditions [3]. For latency-sensitive workloads such as distributed databases, real-time analytics, and financial transaction processing, this is not a marginal improvement; it is transformational.</w:t>
      </w:r>
    </w:p>
    <w:p>
      <w:pPr>
        <w:spacing w:after="160" w:line="360" w:lineRule="exact"/>
        <w:ind w:firstLine="432"/>
        <w:jc w:val="both"/>
      </w:pPr>
      <w:r>
        <w:rPr>
          <w:rFonts w:ascii="Times New Roman" w:hAnsi="Times New Roman"/>
          <w:b w:val="0"/>
          <w:i w:val="0"/>
          <w:sz w:val="24"/>
        </w:rPr>
        <w:t>The trade-off worth acknowledging is initial cost. A fully meshed Spine-Leaf fabric requires more cabling and more switch ports than a three-tier design of equivalent server count. For this scenario, however, this cost is justifiable given that the current performance degradation has a measurable impact on service reliability and customer satisfaction.</w:t>
      </w:r>
    </w:p>
    <w:p>
      <w:pPr>
        <w:pStyle w:val="Heading1"/>
        <w:spacing w:before="320" w:after="120"/>
        <w:pBdr>
          <w:bottom w:val="single" w:sz="12" w:space="4" w:color="1F4E79"/>
        </w:pBdr>
      </w:pPr>
      <w:r>
        <w:rPr>
          <w:rFonts w:ascii="Times New Roman" w:hAnsi="Times New Roman"/>
          <w:b/>
          <w:i w:val="0"/>
          <w:color w:val="00467F"/>
          <w:sz w:val="28"/>
        </w:rPr>
        <w:t>2. Advanced Network Protocols and Techniques</w:t>
      </w:r>
    </w:p>
    <w:p>
      <w:pPr>
        <w:pStyle w:val="Heading2"/>
        <w:spacing w:before="240" w:after="80"/>
      </w:pPr>
      <w:r>
        <w:rPr>
          <w:rFonts w:ascii="Times New Roman" w:hAnsi="Times New Roman"/>
          <w:b/>
          <w:i w:val="0"/>
          <w:color w:val="005AA0"/>
          <w:sz w:val="24"/>
        </w:rPr>
        <w:t>2.1 TCP/IP Performance Enhancements</w:t>
      </w:r>
    </w:p>
    <w:p>
      <w:pPr>
        <w:spacing w:after="160" w:line="360" w:lineRule="exact"/>
        <w:ind w:firstLine="432"/>
        <w:jc w:val="both"/>
      </w:pPr>
      <w:r>
        <w:rPr>
          <w:rFonts w:ascii="Times New Roman" w:hAnsi="Times New Roman"/>
          <w:b w:val="0"/>
          <w:i w:val="0"/>
          <w:sz w:val="24"/>
        </w:rPr>
        <w:t>TCP was designed for reliability, not speed, and in its default configuration it can leave substantial bandwidth on the table in high-latency or high-bandwidth environments. Several enhancements are particularly relevant to the data center context.</w:t>
      </w:r>
    </w:p>
    <w:p>
      <w:pPr>
        <w:spacing w:after="160" w:line="360" w:lineRule="exact"/>
        <w:ind w:firstLine="432"/>
        <w:jc w:val="both"/>
      </w:pPr>
      <w:r>
        <w:rPr>
          <w:rFonts w:ascii="Times New Roman" w:hAnsi="Times New Roman"/>
          <w:b w:val="0"/>
          <w:i w:val="0"/>
          <w:sz w:val="24"/>
        </w:rPr>
        <w:t>Window Scaling extends TCP's receive window size beyond the original 65,535-byte limit specified in RFC 793. In a data center with 25G or 100G links, the bandwidth-delay product is large enough that without window scaling, TCP cannot keep those pipes full. By enabling window scaling (RFC 1323), receive windows can be extended up to 1 GB, allowing TCP to maintain high throughput even with meaningful round-trip times [4]. This is a configuration change rather than a protocol replacement, making it one of the lowest-effort improvements available.</w:t>
      </w:r>
    </w:p>
    <w:p>
      <w:pPr>
        <w:spacing w:after="160" w:line="360" w:lineRule="exact"/>
        <w:ind w:firstLine="432"/>
        <w:jc w:val="both"/>
      </w:pPr>
      <w:r>
        <w:rPr>
          <w:rFonts w:ascii="Times New Roman" w:hAnsi="Times New Roman"/>
          <w:b w:val="0"/>
          <w:i w:val="0"/>
          <w:sz w:val="24"/>
        </w:rPr>
        <w:t>Congestion Control Algorithms have evolved considerably beyond the original AIMD (Additive Increase, Multiplicative Decrease) approach. CUBIC, the default in most Linux kernels, performs reasonably well in general-purpose environments. However, for data center traffic where RTT is very low and link utilisation matters enormously, BBR (Bottleneck Bandwidth and RTT), developed by Google, offers meaningful advantages. BBR models the network path rather than reacting to packet loss as a congestion signal, which prevents the bandwidth under-utilisation that loss-based algorithms suffer from when transient congestion triggers spurious reductions [5]. Migrating hypervisors and physical servers to BBR is a configuration-level change with measurable throughput benefits.</w:t>
      </w:r>
    </w:p>
    <w:p>
      <w:pPr>
        <w:spacing w:after="160" w:line="360" w:lineRule="exact"/>
        <w:ind w:firstLine="432"/>
        <w:jc w:val="both"/>
      </w:pPr>
      <w:r>
        <w:rPr>
          <w:rFonts w:ascii="Times New Roman" w:hAnsi="Times New Roman"/>
          <w:b w:val="0"/>
          <w:i w:val="0"/>
          <w:sz w:val="24"/>
        </w:rPr>
        <w:t>TCP Offloading moves TCP/IP processing from the host CPU to the network interface card (NIC). In high-throughput environments, TCP processing can consume a significant fraction of CPU cycles, leaving fewer resources for application workloads. Modern NICs with TCP Offload Engine (TOE) support, or more broadly RDMA-capable NICs using RoCEv2 (RDMA over Converged Ethernet), can handle transport-layer operations in hardware. For storage traffic in particular, where latency and CPU efficiency are both critical, this shift to hardware-based transport has become standard practice in hyperscale environments [6].</w:t>
      </w:r>
    </w:p>
    <w:p>
      <w:pPr>
        <w:pStyle w:val="Heading2"/>
        <w:spacing w:before="240" w:after="80"/>
      </w:pPr>
      <w:r>
        <w:rPr>
          <w:rFonts w:ascii="Times New Roman" w:hAnsi="Times New Roman"/>
          <w:b/>
          <w:i w:val="0"/>
          <w:color w:val="005AA0"/>
          <w:sz w:val="24"/>
        </w:rPr>
        <w:t>2.2 MPLS for Traffic Engineering</w:t>
      </w:r>
    </w:p>
    <w:p>
      <w:pPr>
        <w:spacing w:after="160" w:line="360" w:lineRule="exact"/>
        <w:ind w:firstLine="432"/>
        <w:jc w:val="both"/>
      </w:pPr>
      <w:r>
        <w:rPr>
          <w:rFonts w:ascii="Times New Roman" w:hAnsi="Times New Roman"/>
          <w:b w:val="0"/>
          <w:i w:val="0"/>
          <w:sz w:val="24"/>
        </w:rPr>
        <w:t>Multiprotocol Label Switching (MPLS) has long been associated with WAN environments, but its traffic engineering capabilities are equally valuable within and between data centers. The core idea is that packets are forwarded based on short, fixed-length labels rather than the full IP destination lookup, enabling the network to steer traffic along specific paths, known as Label Switched Paths (LSPs), independent of the shortest-path routing that IP would otherwise impose.</w:t>
      </w:r>
    </w:p>
    <w:p>
      <w:pPr>
        <w:spacing w:after="160" w:line="360" w:lineRule="exact"/>
        <w:ind w:firstLine="432"/>
        <w:jc w:val="both"/>
      </w:pPr>
      <w:r>
        <w:rPr>
          <w:rFonts w:ascii="Times New Roman" w:hAnsi="Times New Roman"/>
          <w:b w:val="0"/>
          <w:i w:val="0"/>
          <w:sz w:val="24"/>
        </w:rPr>
        <w:t>Within the data center, MPLS-TE allows pre-provisioning of paths that avoid congested segments, distributing load across parallel paths, and providing different forwarding treatments for different traffic classes. This is particularly useful for ensuring that latency-sensitive control traffic is never competing on the same path as bulk backup or replication traffic. RSVP-TE signalling allows these paths to be established with explicit bandwidth reservations, giving the operations team a high degree of control over how the fabric is loaded [7].</w:t>
      </w:r>
    </w:p>
    <w:p>
      <w:pPr>
        <w:spacing w:after="160" w:line="360" w:lineRule="exact"/>
        <w:ind w:firstLine="432"/>
        <w:jc w:val="both"/>
      </w:pPr>
      <w:r>
        <w:rPr>
          <w:rFonts w:ascii="Times New Roman" w:hAnsi="Times New Roman"/>
          <w:b w:val="0"/>
          <w:i w:val="0"/>
          <w:sz w:val="24"/>
        </w:rPr>
        <w:t>Between data centers, MPLS forms the backbone of inter-DC connectivity. Segment Routing (SR-MPLS) is worth particular mention here as a modernised variant that eliminates the per-node state required by traditional RSVP-TE. With SR, the path is encoded in the packet header at ingress, and intermediate nodes simply forward based on label instructions without needing to maintain per-flow state. This reduces control-plane complexity substantially and aligns well with the software-defined management approaches discussed next [8].</w:t>
      </w:r>
    </w:p>
    <w:p>
      <w:pPr>
        <w:pStyle w:val="Heading2"/>
        <w:spacing w:before="240" w:after="80"/>
      </w:pPr>
      <w:r>
        <w:rPr>
          <w:rFonts w:ascii="Times New Roman" w:hAnsi="Times New Roman"/>
          <w:b/>
          <w:i w:val="0"/>
          <w:color w:val="005AA0"/>
          <w:sz w:val="24"/>
        </w:rPr>
        <w:t>2.3 Software-Defined Networking (SDN)</w:t>
      </w:r>
    </w:p>
    <w:p>
      <w:pPr>
        <w:spacing w:after="160" w:line="360" w:lineRule="exact"/>
        <w:ind w:firstLine="432"/>
        <w:jc w:val="both"/>
      </w:pPr>
      <w:r>
        <w:rPr>
          <w:rFonts w:ascii="Times New Roman" w:hAnsi="Times New Roman"/>
          <w:b w:val="0"/>
          <w:i w:val="0"/>
          <w:sz w:val="24"/>
        </w:rPr>
        <w:t>One of the underlying challenges in this scenario, namely inconsistent QoS, often stems from a network that cannot adapt quickly enough to changing traffic conditions. Traditional network management relies on per-device configuration, which is slow, error-prone, and difficult to change dynamically. SDN addresses this by separating the control plane from the data plane, centralising control in a software controller that has a global view of the network.</w:t>
      </w:r>
    </w:p>
    <w:p>
      <w:pPr>
        <w:spacing w:after="160" w:line="360" w:lineRule="exact"/>
        <w:ind w:firstLine="432"/>
        <w:jc w:val="both"/>
      </w:pPr>
      <w:r>
        <w:rPr>
          <w:rFonts w:ascii="Times New Roman" w:hAnsi="Times New Roman"/>
          <w:b w:val="0"/>
          <w:i w:val="0"/>
          <w:sz w:val="24"/>
        </w:rPr>
        <w:t>In practice, an SDN controller such as OpenDaylight or ONOS can monitor traffic matrices across the entire fabric in real time and dynamically reprogram forwarding rules to respond to emerging congestion, reroute around failed links, or adjust QoS markings for specific flows. For a cloud provider with diverse and unpredictable workload patterns, this kind of programmable, intent-driven control is far more responsive than any static configuration approach [9].</w:t>
      </w:r>
    </w:p>
    <w:p>
      <w:pPr>
        <w:spacing w:after="160" w:line="360" w:lineRule="exact"/>
        <w:ind w:firstLine="432"/>
        <w:jc w:val="both"/>
      </w:pPr>
      <w:r>
        <w:rPr>
          <w:rFonts w:ascii="Times New Roman" w:hAnsi="Times New Roman"/>
          <w:b w:val="0"/>
          <w:i w:val="0"/>
          <w:sz w:val="24"/>
        </w:rPr>
        <w:t>SDN also enables network slicing, which is the ability to carve the physical fabric into isolated logical networks with separate policy and bandwidth allocations. This is directly applicable to the QoS problem: production traffic, development environments, and storage replication can each be given their own slice with guaranteed minimum bandwidth and maximum latency bounds, preventing one workload type from degrading another.</w:t>
      </w:r>
    </w:p>
    <w:p>
      <w:pPr>
        <w:pStyle w:val="Heading1"/>
        <w:spacing w:before="320" w:after="120"/>
        <w:pBdr>
          <w:bottom w:val="single" w:sz="12" w:space="4" w:color="1F4E79"/>
        </w:pBdr>
      </w:pPr>
      <w:r>
        <w:rPr>
          <w:rFonts w:ascii="Times New Roman" w:hAnsi="Times New Roman"/>
          <w:b/>
          <w:i w:val="0"/>
          <w:color w:val="00467F"/>
          <w:sz w:val="28"/>
        </w:rPr>
        <w:t>3. Performance Metrics and Optimization</w:t>
      </w:r>
    </w:p>
    <w:p>
      <w:pPr>
        <w:pStyle w:val="Heading2"/>
        <w:spacing w:before="240" w:after="80"/>
      </w:pPr>
      <w:r>
        <w:rPr>
          <w:rFonts w:ascii="Times New Roman" w:hAnsi="Times New Roman"/>
          <w:b/>
          <w:i w:val="0"/>
          <w:color w:val="005AA0"/>
          <w:sz w:val="24"/>
        </w:rPr>
        <w:t>3.1 Key Performance Metrics</w:t>
      </w:r>
    </w:p>
    <w:p>
      <w:pPr>
        <w:spacing w:after="160" w:line="360" w:lineRule="exact"/>
        <w:ind w:firstLine="432"/>
        <w:jc w:val="both"/>
      </w:pPr>
      <w:r>
        <w:rPr>
          <w:rFonts w:ascii="Times New Roman" w:hAnsi="Times New Roman"/>
          <w:b w:val="0"/>
          <w:i w:val="0"/>
          <w:sz w:val="24"/>
        </w:rPr>
        <w:t>To address performance degradation effectively, the first requirement is knowing precisely what is being measured. Three metrics are foundational in a data center context.</w:t>
      </w:r>
    </w:p>
    <w:p>
      <w:pPr>
        <w:spacing w:after="160" w:line="360" w:lineRule="exact"/>
        <w:ind w:firstLine="432"/>
        <w:jc w:val="both"/>
      </w:pPr>
      <w:r>
        <w:rPr>
          <w:rFonts w:ascii="Times New Roman" w:hAnsi="Times New Roman"/>
          <w:b w:val="0"/>
          <w:i w:val="0"/>
          <w:sz w:val="24"/>
        </w:rPr>
        <w:t>Latency is the time required for a single packet to traverse the network from source to destination. In a Spine-Leaf fabric, end-to-end latency should ideally stay below 500 microseconds for same-DC traffic. Latency is best measured at the application layer to capture the full stack, but also at the network layer to isolate the network's own contribution. Persistent tail latency, specifically the 99th or 99.9th percentile, is often more damaging to application performance than average latency, and it deserves specific monitoring attention [10].</w:t>
      </w:r>
    </w:p>
    <w:p>
      <w:pPr>
        <w:spacing w:after="160" w:line="360" w:lineRule="exact"/>
        <w:ind w:firstLine="432"/>
        <w:jc w:val="both"/>
      </w:pPr>
      <w:r>
        <w:rPr>
          <w:rFonts w:ascii="Times New Roman" w:hAnsi="Times New Roman"/>
          <w:b w:val="0"/>
          <w:i w:val="0"/>
          <w:sz w:val="24"/>
        </w:rPr>
        <w:t>Bandwidth refers to the maximum capacity of a link or path. While headline bandwidth is defined by hardware, effective available bandwidth depends on how much capacity is already consumed by other flows. Monitoring per-link utilisation continuously is essential for identifying near-saturation conditions before they cause queuing and degraded performance.</w:t>
      </w:r>
    </w:p>
    <w:p>
      <w:pPr>
        <w:spacing w:after="160" w:line="360" w:lineRule="exact"/>
        <w:ind w:firstLine="432"/>
        <w:jc w:val="both"/>
      </w:pPr>
      <w:r>
        <w:rPr>
          <w:rFonts w:ascii="Times New Roman" w:hAnsi="Times New Roman"/>
          <w:b w:val="0"/>
          <w:i w:val="0"/>
          <w:sz w:val="24"/>
        </w:rPr>
        <w:t>Throughput is the actual data transfer rate achieved by applications across the network over time, accounting for protocol overhead, retransmissions, and queuing delays. Throughput significantly below nominal bandwidth, for example a 10G application flow achieving only 1G on a 25G link, is a strong indicator of network-layer problems worth investigating.</w:t>
      </w:r>
    </w:p>
    <w:p>
      <w:pPr>
        <w:pStyle w:val="Heading2"/>
        <w:spacing w:before="240" w:after="80"/>
      </w:pPr>
      <w:r>
        <w:rPr>
          <w:rFonts w:ascii="Times New Roman" w:hAnsi="Times New Roman"/>
          <w:b/>
          <w:i w:val="0"/>
          <w:color w:val="005AA0"/>
          <w:sz w:val="24"/>
        </w:rPr>
        <w:t>3.2 Measurement Tools and Methods</w:t>
      </w:r>
    </w:p>
    <w:p>
      <w:pPr>
        <w:spacing w:after="160" w:line="360" w:lineRule="exact"/>
        <w:ind w:firstLine="432"/>
        <w:jc w:val="both"/>
      </w:pPr>
      <w:r>
        <w:rPr>
          <w:rFonts w:ascii="Times New Roman" w:hAnsi="Times New Roman"/>
          <w:b w:val="0"/>
          <w:i w:val="0"/>
          <w:sz w:val="24"/>
        </w:rPr>
        <w:t>Several tools are well suited to measuring these metrics at different layers:</w:t>
      </w:r>
    </w:p>
    <w:p>
      <w:pPr>
        <w:pStyle w:val="ListBullet"/>
        <w:spacing w:after="80"/>
        <w:ind w:left="576"/>
      </w:pPr>
      <w:r>
        <w:rPr>
          <w:rFonts w:ascii="Times New Roman" w:hAnsi="Times New Roman"/>
          <w:b w:val="0"/>
          <w:i w:val="0"/>
          <w:sz w:val="24"/>
        </w:rPr>
        <w:t>iPerf3: Industry-standard active measurement tool for point-to-point throughput and latency testing. Particularly useful for baselining new links or verifying performance after configuration changes.</w:t>
      </w:r>
    </w:p>
    <w:p>
      <w:pPr>
        <w:pStyle w:val="ListBullet"/>
        <w:spacing w:after="80"/>
        <w:ind w:left="576"/>
      </w:pPr>
      <w:r>
        <w:rPr>
          <w:rFonts w:ascii="Times New Roman" w:hAnsi="Times New Roman"/>
          <w:b w:val="0"/>
          <w:i w:val="0"/>
          <w:sz w:val="24"/>
        </w:rPr>
        <w:t>Wireshark / tcpdump: Packet-level capture for deep analysis of protocol behaviour, retransmission rates, and RTT estimation from TCP handshake timing.</w:t>
      </w:r>
    </w:p>
    <w:p>
      <w:pPr>
        <w:pStyle w:val="ListBullet"/>
        <w:spacing w:after="80"/>
        <w:ind w:left="576"/>
      </w:pPr>
      <w:r>
        <w:rPr>
          <w:rFonts w:ascii="Times New Roman" w:hAnsi="Times New Roman"/>
          <w:b w:val="0"/>
          <w:i w:val="0"/>
          <w:sz w:val="24"/>
        </w:rPr>
        <w:t>SNMP / NETCONF / gNMI: Standards-based protocols for polling interface counters (utilisation, error rates, drops) from switches. gNMI with streaming telemetry is preferred in modern deployments because it pushes metrics to collectors in near-real-time.</w:t>
      </w:r>
    </w:p>
    <w:p>
      <w:pPr>
        <w:pStyle w:val="ListBullet"/>
        <w:spacing w:after="80"/>
        <w:ind w:left="576"/>
      </w:pPr>
      <w:r>
        <w:rPr>
          <w:rFonts w:ascii="Times New Roman" w:hAnsi="Times New Roman"/>
          <w:b w:val="0"/>
          <w:i w:val="0"/>
          <w:sz w:val="24"/>
        </w:rPr>
        <w:t>Netflow / sFlow / IPFIX: Flow-level visibility into traffic patterns, top talkers, and inter-service communication matrices. Essential for understanding east-west traffic distribution in a Spine-Leaf fabric [11].</w:t>
      </w:r>
    </w:p>
    <w:p/>
    <w:p>
      <w:pPr>
        <w:pStyle w:val="Heading2"/>
        <w:spacing w:before="240" w:after="80"/>
      </w:pPr>
      <w:r>
        <w:rPr>
          <w:rFonts w:ascii="Times New Roman" w:hAnsi="Times New Roman"/>
          <w:b/>
          <w:i w:val="0"/>
          <w:color w:val="005AA0"/>
          <w:sz w:val="24"/>
        </w:rPr>
        <w:t>3.3 Load Balancing and Traffic Engineering</w:t>
      </w:r>
    </w:p>
    <w:p>
      <w:pPr>
        <w:spacing w:after="160" w:line="360" w:lineRule="exact"/>
        <w:ind w:firstLine="432"/>
        <w:jc w:val="both"/>
      </w:pPr>
      <w:r>
        <w:rPr>
          <w:rFonts w:ascii="Times New Roman" w:hAnsi="Times New Roman"/>
          <w:b w:val="0"/>
          <w:i w:val="0"/>
          <w:sz w:val="24"/>
        </w:rPr>
        <w:t>ECMP (Equal-Cost Multi-Path) routing is the default load-balancing mechanism in Spine-Leaf fabrics and provides good statistical load distribution across spine links. However, ECMP operates at the flow level using a hash of the five-tuple, which means that a small number of large elephant flows can dominate specific paths while others remain underutilised. This phenomenon is known as flow polarisation.</w:t>
      </w:r>
    </w:p>
    <w:p>
      <w:pPr>
        <w:spacing w:after="160" w:line="360" w:lineRule="exact"/>
        <w:ind w:firstLine="432"/>
        <w:jc w:val="both"/>
      </w:pPr>
      <w:r>
        <w:rPr>
          <w:rFonts w:ascii="Times New Roman" w:hAnsi="Times New Roman"/>
          <w:b w:val="0"/>
          <w:i w:val="0"/>
          <w:sz w:val="24"/>
        </w:rPr>
        <w:t>One effective mitigation is flowlet switching, which splits long flows into shorter bursts called flowlets and load-balances at the flowlet rather than the flow level. This allows the fabric to react to changing link utilisation mid-flow without the out-of-order delivery problems that packet-level load balancing would cause [12].</w:t>
      </w:r>
    </w:p>
    <w:p>
      <w:pPr>
        <w:spacing w:after="160" w:line="360" w:lineRule="exact"/>
        <w:ind w:firstLine="432"/>
        <w:jc w:val="both"/>
      </w:pPr>
      <w:r>
        <w:rPr>
          <w:rFonts w:ascii="Times New Roman" w:hAnsi="Times New Roman"/>
          <w:b w:val="0"/>
          <w:i w:val="0"/>
          <w:sz w:val="24"/>
        </w:rPr>
        <w:t>For explicit congestion management, Explicit Congestion Notification (ECN) should be enabled throughout the fabric. Rather than waiting for packet drops to signal congestion, ECN marks packets at the switch when buffer occupancy crosses a threshold, allowing endpoints to reduce their sending rate before drops occur. This keeps switch buffers shallow, which is important for latency, while still preventing packet loss.</w:t>
      </w:r>
    </w:p>
    <w:p>
      <w:pPr>
        <w:pStyle w:val="Heading1"/>
        <w:spacing w:before="320" w:after="120"/>
        <w:pBdr>
          <w:bottom w:val="single" w:sz="12" w:space="4" w:color="1F4E79"/>
        </w:pBdr>
      </w:pPr>
      <w:r>
        <w:rPr>
          <w:rFonts w:ascii="Times New Roman" w:hAnsi="Times New Roman"/>
          <w:b/>
          <w:i w:val="0"/>
          <w:color w:val="00467F"/>
          <w:sz w:val="28"/>
        </w:rPr>
        <w:t>4. Fault Tolerance and Redundancy</w:t>
      </w:r>
    </w:p>
    <w:p>
      <w:pPr>
        <w:pStyle w:val="Heading2"/>
        <w:spacing w:before="240" w:after="80"/>
      </w:pPr>
      <w:r>
        <w:rPr>
          <w:rFonts w:ascii="Times New Roman" w:hAnsi="Times New Roman"/>
          <w:b/>
          <w:i w:val="0"/>
          <w:color w:val="005AA0"/>
          <w:sz w:val="24"/>
        </w:rPr>
        <w:t>4.1 Redundancy Strategy</w:t>
      </w:r>
    </w:p>
    <w:p>
      <w:pPr>
        <w:spacing w:after="160" w:line="360" w:lineRule="exact"/>
        <w:ind w:firstLine="432"/>
        <w:jc w:val="both"/>
      </w:pPr>
      <w:r>
        <w:rPr>
          <w:rFonts w:ascii="Times New Roman" w:hAnsi="Times New Roman"/>
          <w:b w:val="0"/>
          <w:i w:val="0"/>
          <w:sz w:val="24"/>
        </w:rPr>
        <w:t>High availability in a cloud data center is non-negotiable. Any single point of failure that can take services offline, even briefly, translates to direct customer impact and potential SLA breaches. The redundancy strategy must therefore be designed so that no individual component failure, whether a switch, link, or power supply, causes a service outage.</w:t>
      </w:r>
    </w:p>
    <w:p>
      <w:pPr>
        <w:spacing w:after="160" w:line="360" w:lineRule="exact"/>
        <w:ind w:firstLine="432"/>
        <w:jc w:val="both"/>
      </w:pPr>
      <w:r>
        <w:rPr>
          <w:rFonts w:ascii="Times New Roman" w:hAnsi="Times New Roman"/>
          <w:b w:val="0"/>
          <w:i w:val="0"/>
          <w:sz w:val="24"/>
        </w:rPr>
        <w:t>At the fabric level, the Spine-Leaf architecture already provides path redundancy inherently. If a spine switch fails, traffic redistributes across the remaining spines via ECMP with minimal disruption, typically achieving sub-second convergence with BFD-assisted routing. Each leaf should maintain at least two uplinks to different spine switches, with the number of spines sized so that any single spine failure does not create significant bandwidth degradation.</w:t>
      </w:r>
    </w:p>
    <w:p>
      <w:pPr>
        <w:spacing w:after="160" w:line="360" w:lineRule="exact"/>
        <w:ind w:firstLine="432"/>
        <w:jc w:val="both"/>
      </w:pPr>
      <w:r>
        <w:rPr>
          <w:rFonts w:ascii="Times New Roman" w:hAnsi="Times New Roman"/>
          <w:b w:val="0"/>
          <w:i w:val="0"/>
          <w:sz w:val="24"/>
        </w:rPr>
        <w:t>At the link level, Link Aggregation Groups (LAGs) bundle multiple physical links between devices into a single logical interface. For server-to-leaf connectivity, dual-homing servers to two separate leaf switches using MLAG (Multi-Chassis Link Aggregation) eliminates the leaf switch itself as a single point of failure. MLAG presents two physical switches as a single logical switch to the server, which sees a single LAG but benefits from the redundancy of two independent devices [13].</w:t>
      </w:r>
    </w:p>
    <w:p>
      <w:pPr>
        <w:spacing w:after="200"/>
        <w:jc w:val="center"/>
      </w:pPr>
      <w:r>
        <w:rPr>
          <w:rFonts w:ascii="Times New Roman" w:hAnsi="Times New Roman"/>
          <w:b/>
          <w:i w:val="0"/>
          <w:sz w:val="20"/>
        </w:rPr>
        <w:t>Figure 2: MLAG Dual-Home Server Connectivity</w:t>
      </w:r>
    </w:p>
    <w:p>
      <w:pPr>
        <w:spacing w:after="0"/>
        <w:ind w:left="720"/>
      </w:pPr>
      <w:r>
        <w:rPr>
          <w:rFonts w:ascii="Courier New" w:hAnsi="Courier New"/>
          <w:sz w:val="18"/>
        </w:rPr>
        <w:t xml:space="preserve">          [Server]</w:t>
      </w:r>
    </w:p>
    <w:p>
      <w:pPr>
        <w:spacing w:after="0"/>
        <w:ind w:left="720"/>
      </w:pPr>
      <w:r>
        <w:rPr>
          <w:rFonts w:ascii="Courier New" w:hAnsi="Courier New"/>
          <w:sz w:val="18"/>
        </w:rPr>
        <w:t xml:space="preserve">         /        \</w:t>
      </w:r>
    </w:p>
    <w:p>
      <w:pPr>
        <w:spacing w:after="0"/>
        <w:ind w:left="720"/>
      </w:pPr>
      <w:r>
        <w:rPr>
          <w:rFonts w:ascii="Courier New" w:hAnsi="Courier New"/>
          <w:sz w:val="18"/>
        </w:rPr>
        <w:t xml:space="preserve">    [Leaf A] ==== [Leaf B]   (MLAG peer link)</w:t>
      </w:r>
    </w:p>
    <w:p>
      <w:pPr>
        <w:spacing w:after="0"/>
        <w:ind w:left="720"/>
      </w:pPr>
      <w:r>
        <w:rPr>
          <w:rFonts w:ascii="Courier New" w:hAnsi="Courier New"/>
          <w:sz w:val="18"/>
        </w:rPr>
        <w:t xml:space="preserve">         \        /</w:t>
      </w:r>
    </w:p>
    <w:p>
      <w:pPr>
        <w:spacing w:after="0"/>
        <w:ind w:left="720"/>
      </w:pPr>
      <w:r>
        <w:rPr>
          <w:rFonts w:ascii="Courier New" w:hAnsi="Courier New"/>
          <w:sz w:val="18"/>
        </w:rPr>
        <w:t xml:space="preserve">          [Spine fabric]</w:t>
      </w:r>
    </w:p>
    <w:p/>
    <w:p>
      <w:pPr>
        <w:pStyle w:val="Heading2"/>
        <w:spacing w:before="240" w:after="80"/>
      </w:pPr>
      <w:r>
        <w:rPr>
          <w:rFonts w:ascii="Times New Roman" w:hAnsi="Times New Roman"/>
          <w:b/>
          <w:i w:val="0"/>
          <w:color w:val="005AA0"/>
          <w:sz w:val="24"/>
        </w:rPr>
        <w:t>4.2 Failover Mechanisms</w:t>
      </w:r>
    </w:p>
    <w:p>
      <w:pPr>
        <w:spacing w:after="160" w:line="360" w:lineRule="exact"/>
        <w:ind w:firstLine="432"/>
        <w:jc w:val="both"/>
      </w:pPr>
      <w:r>
        <w:rPr>
          <w:rFonts w:ascii="Times New Roman" w:hAnsi="Times New Roman"/>
          <w:b w:val="0"/>
          <w:i w:val="0"/>
          <w:sz w:val="24"/>
        </w:rPr>
        <w:t>Fast failover depends on rapid failure detection. Bidirectional Forwarding Detection (BFD) is the standard tool for this: it establishes lightweight hello sessions between routing peers and can detect link failures in as little as 50 ms, which is far faster than routing protocol convergence timers alone. BFD should be enabled on all spine-leaf BGP peerings so that routing tables are updated within seconds of any link failure.</w:t>
      </w:r>
    </w:p>
    <w:p>
      <w:pPr>
        <w:spacing w:after="160" w:line="360" w:lineRule="exact"/>
        <w:ind w:firstLine="432"/>
        <w:jc w:val="both"/>
      </w:pPr>
      <w:r>
        <w:rPr>
          <w:rFonts w:ascii="Times New Roman" w:hAnsi="Times New Roman"/>
          <w:b w:val="0"/>
          <w:i w:val="0"/>
          <w:sz w:val="24"/>
        </w:rPr>
        <w:t>For inter-DC resilience, active-active data center configurations, where both sites simultaneously serve live traffic, are strongly preferred over active-passive arrangements. Active-active eliminates the warm-up delay and configuration divergence that often afflicts failover to a standby site, and it makes more efficient use of infrastructure investment. DNS-based or anycast-based load balancing can distribute traffic between sites, with health checks ensuring that traffic is only directed to sites that are functioning correctly.</w:t>
      </w:r>
    </w:p>
    <w:p>
      <w:pPr>
        <w:pStyle w:val="Heading1"/>
        <w:spacing w:before="320" w:after="120"/>
        <w:pBdr>
          <w:bottom w:val="single" w:sz="12" w:space="4" w:color="1F4E79"/>
        </w:pBdr>
      </w:pPr>
      <w:r>
        <w:rPr>
          <w:rFonts w:ascii="Times New Roman" w:hAnsi="Times New Roman"/>
          <w:b/>
          <w:i w:val="0"/>
          <w:color w:val="00467F"/>
          <w:sz w:val="28"/>
        </w:rPr>
        <w:t>5. Monitoring and Security</w:t>
      </w:r>
    </w:p>
    <w:p>
      <w:pPr>
        <w:pStyle w:val="Heading2"/>
        <w:spacing w:before="240" w:after="80"/>
      </w:pPr>
      <w:r>
        <w:rPr>
          <w:rFonts w:ascii="Times New Roman" w:hAnsi="Times New Roman"/>
          <w:b/>
          <w:i w:val="0"/>
          <w:color w:val="005AA0"/>
          <w:sz w:val="24"/>
        </w:rPr>
        <w:t>5.1 Network Monitoring Tools</w:t>
      </w:r>
    </w:p>
    <w:p>
      <w:pPr>
        <w:spacing w:after="160" w:line="360" w:lineRule="exact"/>
        <w:ind w:firstLine="432"/>
        <w:jc w:val="both"/>
      </w:pPr>
      <w:r>
        <w:rPr>
          <w:rFonts w:ascii="Times New Roman" w:hAnsi="Times New Roman"/>
          <w:b w:val="0"/>
          <w:i w:val="0"/>
          <w:sz w:val="24"/>
        </w:rPr>
        <w:t>Effective monitoring in a large-scale data center requires visibility at multiple layers simultaneously. No single tool covers everything, so a layered monitoring stack is the standard approach.</w:t>
      </w:r>
    </w:p>
    <w:p>
      <w:pPr>
        <w:spacing w:after="160" w:line="360" w:lineRule="exact"/>
        <w:ind w:firstLine="432"/>
        <w:jc w:val="both"/>
      </w:pPr>
      <w:r>
        <w:rPr>
          <w:rFonts w:ascii="Times New Roman" w:hAnsi="Times New Roman"/>
          <w:b w:val="0"/>
          <w:i w:val="0"/>
          <w:sz w:val="24"/>
        </w:rPr>
        <w:t>Prometheus with Grafana has become the de facto stack for metrics collection and visualisation in cloud-native environments. Prometheus scrapes metrics from exporters, including network device exporters via SNMP or gNMI, stores them in a time-series database, and Grafana provides flexible dashboards and alerting. This stack scales well and integrates naturally with containerised and Kubernetes-based environments [14].</w:t>
      </w:r>
    </w:p>
    <w:p>
      <w:pPr>
        <w:spacing w:after="160" w:line="360" w:lineRule="exact"/>
        <w:ind w:firstLine="432"/>
        <w:jc w:val="both"/>
      </w:pPr>
      <w:r>
        <w:rPr>
          <w:rFonts w:ascii="Times New Roman" w:hAnsi="Times New Roman"/>
          <w:b w:val="0"/>
          <w:i w:val="0"/>
          <w:sz w:val="24"/>
        </w:rPr>
        <w:t>The Elastic Stack (ELK), comprising Elasticsearch, Logstash, and Kibana, handles log aggregation and analysis. Network device syslogs, flow records, and security events can all be centralised in Elasticsearch and queried through Kibana. This is particularly valuable for post-incident analysis and for identifying recurring error patterns across the fleet.</w:t>
      </w:r>
    </w:p>
    <w:p>
      <w:pPr>
        <w:spacing w:after="160" w:line="360" w:lineRule="exact"/>
        <w:ind w:firstLine="432"/>
        <w:jc w:val="both"/>
      </w:pPr>
      <w:r>
        <w:rPr>
          <w:rFonts w:ascii="Times New Roman" w:hAnsi="Times New Roman"/>
          <w:b w:val="0"/>
          <w:i w:val="0"/>
          <w:sz w:val="24"/>
        </w:rPr>
        <w:t>For SLA monitoring specifically, synthetic monitoring sends controlled test packets across the network at regular intervals and measures RTT and loss, providing a continuous ground truth for latency and availability that complements passive observability. Purpose-built flow analytics platforms such as Kentik offer advanced DDoS detection and traffic baseline alerting at scale.</w:t>
      </w:r>
    </w:p>
    <w:p>
      <w:pPr>
        <w:pStyle w:val="Heading2"/>
        <w:spacing w:before="240" w:after="80"/>
      </w:pPr>
      <w:r>
        <w:rPr>
          <w:rFonts w:ascii="Times New Roman" w:hAnsi="Times New Roman"/>
          <w:b/>
          <w:i w:val="0"/>
          <w:color w:val="005AA0"/>
          <w:sz w:val="24"/>
        </w:rPr>
        <w:t>5.2 Security Challenges and Mitigation Strategies</w:t>
      </w:r>
    </w:p>
    <w:p>
      <w:pPr>
        <w:spacing w:after="160" w:line="360" w:lineRule="exact"/>
        <w:ind w:firstLine="432"/>
        <w:jc w:val="both"/>
      </w:pPr>
      <w:r>
        <w:rPr>
          <w:rFonts w:ascii="Times New Roman" w:hAnsi="Times New Roman"/>
          <w:b w:val="0"/>
          <w:i w:val="0"/>
          <w:sz w:val="24"/>
        </w:rPr>
        <w:t>High-performance cloud networks face a security threat landscape that differs in important ways from enterprise networks. The scale and interconnectedness of the environment creates both a larger attack surface and greater potential blast radius when incidents occur.</w:t>
      </w:r>
    </w:p>
    <w:p>
      <w:pPr>
        <w:spacing w:after="160" w:line="360" w:lineRule="exact"/>
        <w:ind w:firstLine="432"/>
        <w:jc w:val="both"/>
      </w:pPr>
      <w:r>
        <w:rPr>
          <w:rFonts w:ascii="Times New Roman" w:hAnsi="Times New Roman"/>
          <w:b w:val="0"/>
          <w:i w:val="0"/>
          <w:sz w:val="24"/>
        </w:rPr>
        <w:t>DDoS attacks remain the most operationally disruptive threat category. Volumetric attacks targeting ingress links or specific services can exhaust bandwidth and trigger congestion across the fabric. Mitigation requires a layered approach: upstream scrubbing via transit provider-level filtering (BGP Blackhole routing or RTBH), in-network rate limiting with per-source-IP policing at ingress leaf switches, and purpose-built scrubbing infrastructure capable of analysing and filtering traffic at high line rates [15].</w:t>
      </w:r>
    </w:p>
    <w:p>
      <w:pPr>
        <w:spacing w:after="160" w:line="360" w:lineRule="exact"/>
        <w:ind w:firstLine="432"/>
        <w:jc w:val="both"/>
      </w:pPr>
      <w:r>
        <w:rPr>
          <w:rFonts w:ascii="Times New Roman" w:hAnsi="Times New Roman"/>
          <w:b w:val="0"/>
          <w:i w:val="0"/>
          <w:sz w:val="24"/>
        </w:rPr>
        <w:t>East-West lateral movement is a threat that traditional perimeter-focused security models largely ignore. In a cloud data center where thousands of workloads share a flat network, a compromised virtual machine can potentially reach other VMs it has no business communicating with. The solution is micro-segmentation: enforcing network-level isolation between workloads based on identity and policy rather than IP address ranges. SDN-based security policies, implemented through the network controller or through hypervisor-level virtual switching such as Open vSwitch, allow fine-grained control over which services can communicate with which [16].</w:t>
      </w:r>
    </w:p>
    <w:p>
      <w:pPr>
        <w:spacing w:after="160" w:line="360" w:lineRule="exact"/>
        <w:ind w:firstLine="432"/>
        <w:jc w:val="both"/>
      </w:pPr>
      <w:r>
        <w:rPr>
          <w:rFonts w:ascii="Times New Roman" w:hAnsi="Times New Roman"/>
          <w:b w:val="0"/>
          <w:i w:val="0"/>
          <w:sz w:val="24"/>
        </w:rPr>
        <w:t>Encrypted traffic analysis presents a growing challenge. As more traffic within the data center is encrypted using TLS 1.3 or mTLS in service meshes, traditional deep packet inspection becomes ineffective. Security monitoring must shift toward flow-level anomaly detection, identifying unusual communication patterns, unexpected volume changes, or connections to anomalous destinations, without necessarily decrypting the payload. Machine learning-based anomaly detection tools have matured significantly in this area.</w:t>
      </w:r>
    </w:p>
    <w:p>
      <w:pPr>
        <w:spacing w:after="160" w:line="360" w:lineRule="exact"/>
        <w:ind w:firstLine="432"/>
        <w:jc w:val="both"/>
      </w:pPr>
      <w:r>
        <w:rPr>
          <w:rFonts w:ascii="Times New Roman" w:hAnsi="Times New Roman"/>
          <w:b w:val="0"/>
          <w:i w:val="0"/>
          <w:sz w:val="24"/>
        </w:rPr>
        <w:t>Authentication and access control for the network infrastructure itself is a frequently underestimated risk. Network devices must be managed through dedicated out-of-band management networks with strong authentication (MFA and certificate-based SSH), comprehensive audit logging, and change management controls. Management plane access should never traverse the same network as production data traffic.</w:t>
      </w:r>
    </w:p>
    <w:p>
      <w:pPr>
        <w:pStyle w:val="Heading1"/>
        <w:spacing w:before="320" w:after="120"/>
        <w:pBdr>
          <w:bottom w:val="single" w:sz="12" w:space="4" w:color="1F4E79"/>
        </w:pBdr>
      </w:pPr>
      <w:r>
        <w:rPr>
          <w:rFonts w:ascii="Times New Roman" w:hAnsi="Times New Roman"/>
          <w:b/>
          <w:i w:val="0"/>
          <w:color w:val="00467F"/>
          <w:sz w:val="28"/>
        </w:rPr>
        <w:t>Conclusion</w:t>
      </w:r>
    </w:p>
    <w:p>
      <w:pPr>
        <w:spacing w:after="160" w:line="360" w:lineRule="exact"/>
        <w:ind w:firstLine="432"/>
        <w:jc w:val="both"/>
      </w:pPr>
      <w:r>
        <w:rPr>
          <w:rFonts w:ascii="Times New Roman" w:hAnsi="Times New Roman"/>
          <w:b w:val="0"/>
          <w:i w:val="0"/>
          <w:sz w:val="24"/>
        </w:rPr>
        <w:t>The performance issues facing this data center, namely congestion, latency variability, and inconsistent QoS, are not isolated problems. They reflect an architectural mismatch between a network designed for a different era and the workloads it is now asked to serve. The recommendations in this report form a coherent strategy rather than a collection of independent fixes.</w:t>
      </w:r>
    </w:p>
    <w:p>
      <w:pPr>
        <w:spacing w:after="160" w:line="360" w:lineRule="exact"/>
        <w:ind w:firstLine="432"/>
        <w:jc w:val="both"/>
      </w:pPr>
      <w:r>
        <w:rPr>
          <w:rFonts w:ascii="Times New Roman" w:hAnsi="Times New Roman"/>
          <w:b w:val="0"/>
          <w:i w:val="0"/>
          <w:sz w:val="24"/>
        </w:rPr>
        <w:t>Migrating to Spine-Leaf architecture provides the foundational topology that makes everything else tractable: equal-cost paths, horizontal scalability, and predictable latency. Protocol enhancements such as TCP window scaling, BBR congestion control, MPLS-TE, and SDN-based dynamic control extract maximum performance from the physical fabric. Rigorous measurement and load balancing keep the fabric running efficiently as workloads change. Redundancy design at every layer, from server NICs to inter-DC failover, ensures that hardware failures become operational events rather than customer-impacting outages. A layered monitoring and security posture provides the visibility and protection that a multi-tenant, high-value environment demands.</w:t>
      </w:r>
    </w:p>
    <w:p>
      <w:pPr>
        <w:spacing w:after="160" w:line="360" w:lineRule="exact"/>
        <w:ind w:firstLine="432"/>
        <w:jc w:val="both"/>
      </w:pPr>
      <w:r>
        <w:rPr>
          <w:rFonts w:ascii="Times New Roman" w:hAnsi="Times New Roman"/>
          <w:b w:val="0"/>
          <w:i w:val="0"/>
          <w:sz w:val="24"/>
        </w:rPr>
        <w:t>Implementing all of this in sequence rather than simultaneously is advisable, as the fabric migration in particular should be phased to avoid service disruption. The individual components are well-understood and proven at scale by the largest cloud providers in the industry, and the direction of travel is clear.</w:t>
      </w:r>
    </w:p>
    <w:p>
      <w:pPr>
        <w:pStyle w:val="Heading1"/>
        <w:spacing w:before="320" w:after="120"/>
        <w:pBdr>
          <w:bottom w:val="single" w:sz="12" w:space="4" w:color="1F4E79"/>
        </w:pBdr>
      </w:pPr>
      <w:r>
        <w:rPr>
          <w:rFonts w:ascii="Times New Roman" w:hAnsi="Times New Roman"/>
          <w:b/>
          <w:i w:val="0"/>
          <w:color w:val="00467F"/>
          <w:sz w:val="28"/>
        </w:rPr>
        <w:t>References</w:t>
      </w:r>
    </w:p>
    <w:p>
      <w:pPr>
        <w:spacing w:after="80"/>
        <w:ind w:left="576" w:hanging="576"/>
      </w:pPr>
      <w:r>
        <w:rPr>
          <w:rFonts w:ascii="Times New Roman" w:hAnsi="Times New Roman"/>
          <w:b w:val="0"/>
          <w:i w:val="0"/>
          <w:sz w:val="22"/>
        </w:rPr>
        <w:t>[1]  A. Greenberg, J. Hamilton, D. A. Maltz, and P. Patel, 'The Cost of a Cloud: Research Problems in Data Center Networks,' ACM SIGCOMM Computer Communication Review, vol. 39, no. 1, pp. 68-73, 2009.</w:t>
      </w:r>
    </w:p>
    <w:p>
      <w:pPr>
        <w:spacing w:after="80"/>
        <w:ind w:left="576" w:hanging="576"/>
      </w:pPr>
      <w:r>
        <w:rPr>
          <w:rFonts w:ascii="Times New Roman" w:hAnsi="Times New Roman"/>
          <w:b w:val="0"/>
          <w:i w:val="0"/>
          <w:sz w:val="22"/>
        </w:rPr>
        <w:t>[2]  Cisco Systems, 'Data Center Design: Spine-and-Leaf Architecture,' Cisco Validated Design Guide, 2022.</w:t>
      </w:r>
    </w:p>
    <w:p>
      <w:pPr>
        <w:spacing w:after="80"/>
        <w:ind w:left="576" w:hanging="576"/>
      </w:pPr>
      <w:r>
        <w:rPr>
          <w:rFonts w:ascii="Times New Roman" w:hAnsi="Times New Roman"/>
          <w:b w:val="0"/>
          <w:i w:val="0"/>
          <w:sz w:val="22"/>
        </w:rPr>
        <w:t>[3]  R. N. Mysore et al., 'PortLand: A Scalable Fault-Tolerant Layer 2 Data Center Network Fabric,' ACM SIGCOMM, 2009, pp. 39-50.</w:t>
      </w:r>
    </w:p>
    <w:p>
      <w:pPr>
        <w:spacing w:after="80"/>
        <w:ind w:left="576" w:hanging="576"/>
      </w:pPr>
      <w:r>
        <w:rPr>
          <w:rFonts w:ascii="Times New Roman" w:hAnsi="Times New Roman"/>
          <w:b w:val="0"/>
          <w:i w:val="0"/>
          <w:sz w:val="22"/>
        </w:rPr>
        <w:t>[4]  V. Jacobson, R. Braden, and D. Borman, 'TCP Extensions for High Performance,' IETF RFC 1323, May 1992.</w:t>
      </w:r>
    </w:p>
    <w:p>
      <w:pPr>
        <w:spacing w:after="80"/>
        <w:ind w:left="576" w:hanging="576"/>
      </w:pPr>
      <w:r>
        <w:rPr>
          <w:rFonts w:ascii="Times New Roman" w:hAnsi="Times New Roman"/>
          <w:b w:val="0"/>
          <w:i w:val="0"/>
          <w:sz w:val="22"/>
        </w:rPr>
        <w:t>[5]  N. Cardwell, Y. Cheng, C. S. Gunn, S. H. Yeganeh, and V. Jacobson, 'BBR: Congestion-Based Congestion Control,' ACM Queue, vol. 14, no. 5, pp. 20-53, 2016.</w:t>
      </w:r>
    </w:p>
    <w:p>
      <w:pPr>
        <w:spacing w:after="80"/>
        <w:ind w:left="576" w:hanging="576"/>
      </w:pPr>
      <w:r>
        <w:rPr>
          <w:rFonts w:ascii="Times New Roman" w:hAnsi="Times New Roman"/>
          <w:b w:val="0"/>
          <w:i w:val="0"/>
          <w:sz w:val="22"/>
        </w:rPr>
        <w:t>[6]  InfiniBand Trade Association, 'RDMA over Converged Ethernet (RoCEv2) Technical Specification,' 2014.</w:t>
      </w:r>
    </w:p>
    <w:p>
      <w:pPr>
        <w:spacing w:after="80"/>
        <w:ind w:left="576" w:hanging="576"/>
      </w:pPr>
      <w:r>
        <w:rPr>
          <w:rFonts w:ascii="Times New Roman" w:hAnsi="Times New Roman"/>
          <w:b w:val="0"/>
          <w:i w:val="0"/>
          <w:sz w:val="22"/>
        </w:rPr>
        <w:t>[7]  D. Awduche et al., 'Requirements for Traffic Engineering Over MPLS,' IETF RFC 2702, September 1999.</w:t>
      </w:r>
    </w:p>
    <w:p>
      <w:pPr>
        <w:spacing w:after="80"/>
        <w:ind w:left="576" w:hanging="576"/>
      </w:pPr>
      <w:r>
        <w:rPr>
          <w:rFonts w:ascii="Times New Roman" w:hAnsi="Times New Roman"/>
          <w:b w:val="0"/>
          <w:i w:val="0"/>
          <w:sz w:val="22"/>
        </w:rPr>
        <w:t>[8]  C. Filsfils et al., 'Segment Routing Architecture,' IETF RFC 8402, July 2018.</w:t>
      </w:r>
    </w:p>
    <w:p>
      <w:pPr>
        <w:spacing w:after="80"/>
        <w:ind w:left="576" w:hanging="576"/>
      </w:pPr>
      <w:r>
        <w:rPr>
          <w:rFonts w:ascii="Times New Roman" w:hAnsi="Times New Roman"/>
          <w:b w:val="0"/>
          <w:i w:val="0"/>
          <w:sz w:val="22"/>
        </w:rPr>
        <w:t>[9]  D. Kreutz et al., 'Software-Defined Networking: A Comprehensive Survey,' Proceedings of the IEEE, vol. 103, no. 1, pp. 14-76, 2015.</w:t>
      </w:r>
    </w:p>
    <w:p>
      <w:pPr>
        <w:spacing w:after="80"/>
        <w:ind w:left="576" w:hanging="576"/>
      </w:pPr>
      <w:r>
        <w:rPr>
          <w:rFonts w:ascii="Times New Roman" w:hAnsi="Times New Roman"/>
          <w:b w:val="0"/>
          <w:i w:val="0"/>
          <w:sz w:val="22"/>
        </w:rPr>
        <w:t>[10] J. Dean and L. A. Barroso, 'The Tail at Scale,' Communications of the ACM, vol. 56, no. 2, pp. 74-80, 2013.</w:t>
      </w:r>
    </w:p>
    <w:p>
      <w:pPr>
        <w:spacing w:after="80"/>
        <w:ind w:left="576" w:hanging="576"/>
      </w:pPr>
      <w:r>
        <w:rPr>
          <w:rFonts w:ascii="Times New Roman" w:hAnsi="Times New Roman"/>
          <w:b w:val="0"/>
          <w:i w:val="0"/>
          <w:sz w:val="22"/>
        </w:rPr>
        <w:t>[11] B. Claise, 'Cisco Systems NetFlow Services Export Version 9,' IETF RFC 3954, October 2004.</w:t>
      </w:r>
    </w:p>
    <w:p>
      <w:pPr>
        <w:spacing w:after="80"/>
        <w:ind w:left="576" w:hanging="576"/>
      </w:pPr>
      <w:r>
        <w:rPr>
          <w:rFonts w:ascii="Times New Roman" w:hAnsi="Times New Roman"/>
          <w:b w:val="0"/>
          <w:i w:val="0"/>
          <w:sz w:val="22"/>
        </w:rPr>
        <w:t>[12] M. Alizadeh et al., 'CONGA: Distributed Congestion-Aware Load Balancing for Datacenters,' ACM SIGCOMM, 2014, pp. 503-514.</w:t>
      </w:r>
    </w:p>
    <w:p>
      <w:pPr>
        <w:spacing w:after="80"/>
        <w:ind w:left="576" w:hanging="576"/>
      </w:pPr>
      <w:r>
        <w:rPr>
          <w:rFonts w:ascii="Times New Roman" w:hAnsi="Times New Roman"/>
          <w:b w:val="0"/>
          <w:i w:val="0"/>
          <w:sz w:val="22"/>
        </w:rPr>
        <w:t>[13] R. Lapuh, Data Center Virtualization Fundamentals, Cisco Press, 2014.</w:t>
      </w:r>
    </w:p>
    <w:p>
      <w:pPr>
        <w:spacing w:after="80"/>
        <w:ind w:left="576" w:hanging="576"/>
      </w:pPr>
      <w:r>
        <w:rPr>
          <w:rFonts w:ascii="Times New Roman" w:hAnsi="Times New Roman"/>
          <w:b w:val="0"/>
          <w:i w:val="0"/>
          <w:sz w:val="22"/>
        </w:rPr>
        <w:t>[14] J. Turnbull, Monitoring with Prometheus, Turnbull Press, 2018.</w:t>
      </w:r>
    </w:p>
    <w:p>
      <w:pPr>
        <w:spacing w:after="80"/>
        <w:ind w:left="576" w:hanging="576"/>
      </w:pPr>
      <w:r>
        <w:rPr>
          <w:rFonts w:ascii="Times New Roman" w:hAnsi="Times New Roman"/>
          <w:b w:val="0"/>
          <w:i w:val="0"/>
          <w:sz w:val="22"/>
        </w:rPr>
        <w:t>[15] A. Gupta and R. Harrison, 'Evaluating the Power of Flexible Packet Processing for Network Resource Allocation,' ACM HotNets, 2017.</w:t>
      </w:r>
    </w:p>
    <w:p>
      <w:pPr>
        <w:spacing w:after="80"/>
        <w:ind w:left="576" w:hanging="576"/>
      </w:pPr>
      <w:r>
        <w:rPr>
          <w:rFonts w:ascii="Times New Roman" w:hAnsi="Times New Roman"/>
          <w:b w:val="0"/>
          <w:i w:val="0"/>
          <w:sz w:val="22"/>
        </w:rPr>
        <w:t>[16] P. Bosshart et al., 'P4: Programming Protocol-Independent Packet Processors,' ACM SIGCOMM Computer Communication Review, vol. 44, no. 3, pp. 87-95,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