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E841ED" w14:textId="77777777" w:rsidR="00B22F97" w:rsidRDefault="00000000">
      <w:pPr>
        <w:pStyle w:val="Title"/>
      </w:pPr>
      <w:r>
        <w:t>CCZG506 - API-driven Cloud Native Solutions</w:t>
      </w:r>
    </w:p>
    <w:p w14:paraId="3935D0AE" w14:textId="77777777" w:rsidR="00B22F97" w:rsidRDefault="00000000">
      <w:pPr>
        <w:pStyle w:val="Subtitle"/>
      </w:pPr>
      <w:r>
        <w:t>Assignment I: Cloud-Native Machine Learning Application Lifecycle</w:t>
      </w:r>
    </w:p>
    <w:p w14:paraId="609363CC" w14:textId="77777777" w:rsidR="00B22F97" w:rsidRDefault="00000000">
      <w:r>
        <w:rPr>
          <w:b/>
        </w:rPr>
        <w:t>Course Component:</w:t>
      </w:r>
      <w:r>
        <w:t xml:space="preserve"> EC-1 (Weightage: 15 Marks)</w:t>
      </w:r>
    </w:p>
    <w:p w14:paraId="116878FB" w14:textId="77777777" w:rsidR="00B22F97" w:rsidRDefault="00000000">
      <w:r>
        <w:rPr>
          <w:b/>
        </w:rPr>
        <w:t>Group Number:</w:t>
      </w:r>
      <w:r>
        <w:t xml:space="preserve"> </w:t>
      </w:r>
      <w:r>
        <w:rPr>
          <w:rFonts w:ascii="Consolas" w:hAnsi="Consolas"/>
          <w:color w:val="4F5F70"/>
          <w:sz w:val="20"/>
        </w:rPr>
        <w:t>&lt;Fill Group No&gt;</w:t>
      </w:r>
    </w:p>
    <w:p w14:paraId="6FF5EFED" w14:textId="77777777" w:rsidR="00B22F97" w:rsidRDefault="00000000">
      <w:pPr>
        <w:pStyle w:val="Heading2"/>
        <w:spacing w:before="160"/>
      </w:pPr>
      <w:r>
        <w:t>Group Details and Contribution Matrix</w:t>
      </w:r>
    </w:p>
    <w:tbl>
      <w:tblPr>
        <w:tblStyle w:val="TableGrid"/>
        <w:tblW w:w="9360" w:type="dxa"/>
        <w:jc w:val="center"/>
        <w:tblLayout w:type="fixed"/>
        <w:tblCellMar>
          <w:top w:w="100" w:type="dxa"/>
          <w:left w:w="120" w:type="dxa"/>
          <w:bottom w:w="100" w:type="dxa"/>
          <w:right w:w="120" w:type="dxa"/>
        </w:tblCellMar>
        <w:tblLook w:val="04A0" w:firstRow="1" w:lastRow="0" w:firstColumn="1" w:lastColumn="0" w:noHBand="0" w:noVBand="1"/>
      </w:tblPr>
      <w:tblGrid>
        <w:gridCol w:w="792"/>
        <w:gridCol w:w="1584"/>
        <w:gridCol w:w="1728"/>
        <w:gridCol w:w="4104"/>
        <w:gridCol w:w="1152"/>
      </w:tblGrid>
      <w:tr w:rsidR="00B22F97" w14:paraId="1D2AB71A" w14:textId="77777777">
        <w:trPr>
          <w:jc w:val="center"/>
        </w:trPr>
        <w:tc>
          <w:tcPr>
            <w:tcW w:w="792" w:type="dxa"/>
            <w:tcBorders>
              <w:top w:val="single" w:sz="8" w:space="0" w:color="D9E2EC"/>
              <w:left w:val="single" w:sz="8" w:space="0" w:color="D9E2EC"/>
              <w:bottom w:val="single" w:sz="8" w:space="0" w:color="D9E2EC"/>
              <w:right w:val="single" w:sz="8" w:space="0" w:color="D9E2EC"/>
            </w:tcBorders>
            <w:shd w:val="clear" w:color="auto" w:fill="E8EEF5"/>
            <w:vAlign w:val="center"/>
          </w:tcPr>
          <w:p w14:paraId="49024086" w14:textId="77777777" w:rsidR="00B22F97" w:rsidRDefault="00000000">
            <w:pPr>
              <w:spacing w:after="0"/>
              <w:jc w:val="center"/>
            </w:pPr>
            <w:r>
              <w:rPr>
                <w:b/>
              </w:rPr>
              <w:t>Sl. No</w:t>
            </w:r>
          </w:p>
        </w:tc>
        <w:tc>
          <w:tcPr>
            <w:tcW w:w="1584" w:type="dxa"/>
            <w:tcBorders>
              <w:top w:val="single" w:sz="8" w:space="0" w:color="D9E2EC"/>
              <w:left w:val="single" w:sz="8" w:space="0" w:color="D9E2EC"/>
              <w:bottom w:val="single" w:sz="8" w:space="0" w:color="D9E2EC"/>
              <w:right w:val="single" w:sz="8" w:space="0" w:color="D9E2EC"/>
            </w:tcBorders>
            <w:shd w:val="clear" w:color="auto" w:fill="E8EEF5"/>
            <w:vAlign w:val="center"/>
          </w:tcPr>
          <w:p w14:paraId="76721E08" w14:textId="77777777" w:rsidR="00B22F97" w:rsidRDefault="00000000">
            <w:pPr>
              <w:spacing w:after="0"/>
            </w:pPr>
            <w:r>
              <w:rPr>
                <w:b/>
              </w:rPr>
              <w:t>BITS ID</w:t>
            </w:r>
          </w:p>
        </w:tc>
        <w:tc>
          <w:tcPr>
            <w:tcW w:w="1728" w:type="dxa"/>
            <w:tcBorders>
              <w:top w:val="single" w:sz="8" w:space="0" w:color="D9E2EC"/>
              <w:left w:val="single" w:sz="8" w:space="0" w:color="D9E2EC"/>
              <w:bottom w:val="single" w:sz="8" w:space="0" w:color="D9E2EC"/>
              <w:right w:val="single" w:sz="8" w:space="0" w:color="D9E2EC"/>
            </w:tcBorders>
            <w:shd w:val="clear" w:color="auto" w:fill="E8EEF5"/>
            <w:vAlign w:val="center"/>
          </w:tcPr>
          <w:p w14:paraId="12F71271" w14:textId="77777777" w:rsidR="00B22F97" w:rsidRDefault="00000000">
            <w:pPr>
              <w:spacing w:after="0"/>
            </w:pPr>
            <w:r>
              <w:rPr>
                <w:b/>
              </w:rPr>
              <w:t>Name</w:t>
            </w:r>
          </w:p>
        </w:tc>
        <w:tc>
          <w:tcPr>
            <w:tcW w:w="4104" w:type="dxa"/>
            <w:tcBorders>
              <w:top w:val="single" w:sz="8" w:space="0" w:color="D9E2EC"/>
              <w:left w:val="single" w:sz="8" w:space="0" w:color="D9E2EC"/>
              <w:bottom w:val="single" w:sz="8" w:space="0" w:color="D9E2EC"/>
              <w:right w:val="single" w:sz="8" w:space="0" w:color="D9E2EC"/>
            </w:tcBorders>
            <w:shd w:val="clear" w:color="auto" w:fill="E8EEF5"/>
            <w:vAlign w:val="center"/>
          </w:tcPr>
          <w:p w14:paraId="2B8B445B" w14:textId="77777777" w:rsidR="00B22F97" w:rsidRDefault="00000000">
            <w:pPr>
              <w:spacing w:after="0"/>
            </w:pPr>
            <w:r>
              <w:rPr>
                <w:b/>
              </w:rPr>
              <w:t>Contribution of team member (Qualitative)</w:t>
            </w:r>
          </w:p>
        </w:tc>
        <w:tc>
          <w:tcPr>
            <w:tcW w:w="1152" w:type="dxa"/>
            <w:tcBorders>
              <w:top w:val="single" w:sz="8" w:space="0" w:color="D9E2EC"/>
              <w:left w:val="single" w:sz="8" w:space="0" w:color="D9E2EC"/>
              <w:bottom w:val="single" w:sz="8" w:space="0" w:color="D9E2EC"/>
              <w:right w:val="single" w:sz="8" w:space="0" w:color="D9E2EC"/>
            </w:tcBorders>
            <w:shd w:val="clear" w:color="auto" w:fill="E8EEF5"/>
            <w:vAlign w:val="center"/>
          </w:tcPr>
          <w:p w14:paraId="18CA1F98" w14:textId="77777777" w:rsidR="00B22F97" w:rsidRDefault="00000000">
            <w:pPr>
              <w:spacing w:after="0"/>
              <w:jc w:val="center"/>
            </w:pPr>
            <w:r>
              <w:rPr>
                <w:b/>
              </w:rPr>
              <w:t>Percentage Contribution (Quantitative)</w:t>
            </w:r>
          </w:p>
        </w:tc>
      </w:tr>
      <w:tr w:rsidR="00B22F97" w14:paraId="55782109" w14:textId="77777777">
        <w:trPr>
          <w:jc w:val="center"/>
        </w:trPr>
        <w:tc>
          <w:tcPr>
            <w:tcW w:w="792" w:type="dxa"/>
            <w:tcBorders>
              <w:top w:val="single" w:sz="8" w:space="0" w:color="D9E2EC"/>
              <w:left w:val="single" w:sz="8" w:space="0" w:color="D9E2EC"/>
              <w:bottom w:val="single" w:sz="8" w:space="0" w:color="D9E2EC"/>
              <w:right w:val="single" w:sz="8" w:space="0" w:color="D9E2EC"/>
            </w:tcBorders>
            <w:vAlign w:val="center"/>
          </w:tcPr>
          <w:p w14:paraId="0ABF32B8" w14:textId="77777777" w:rsidR="00B22F97" w:rsidRDefault="00000000">
            <w:pPr>
              <w:spacing w:after="0"/>
              <w:jc w:val="center"/>
            </w:pPr>
            <w:r>
              <w:t>1</w:t>
            </w:r>
          </w:p>
        </w:tc>
        <w:tc>
          <w:tcPr>
            <w:tcW w:w="1584" w:type="dxa"/>
            <w:tcBorders>
              <w:top w:val="single" w:sz="8" w:space="0" w:color="D9E2EC"/>
              <w:left w:val="single" w:sz="8" w:space="0" w:color="D9E2EC"/>
              <w:bottom w:val="single" w:sz="8" w:space="0" w:color="D9E2EC"/>
              <w:right w:val="single" w:sz="8" w:space="0" w:color="D9E2EC"/>
            </w:tcBorders>
            <w:vAlign w:val="center"/>
          </w:tcPr>
          <w:p w14:paraId="64098140" w14:textId="77777777" w:rsidR="00B22F97" w:rsidRDefault="00000000">
            <w:pPr>
              <w:spacing w:after="0"/>
            </w:pPr>
            <w:r>
              <w:rPr>
                <w:rFonts w:ascii="Consolas" w:hAnsi="Consolas"/>
                <w:color w:val="4F5F70"/>
                <w:sz w:val="20"/>
              </w:rPr>
              <w:t>Your BITS ID</w:t>
            </w:r>
          </w:p>
        </w:tc>
        <w:tc>
          <w:tcPr>
            <w:tcW w:w="1728" w:type="dxa"/>
            <w:tcBorders>
              <w:top w:val="single" w:sz="8" w:space="0" w:color="D9E2EC"/>
              <w:left w:val="single" w:sz="8" w:space="0" w:color="D9E2EC"/>
              <w:bottom w:val="single" w:sz="8" w:space="0" w:color="D9E2EC"/>
              <w:right w:val="single" w:sz="8" w:space="0" w:color="D9E2EC"/>
            </w:tcBorders>
            <w:vAlign w:val="center"/>
          </w:tcPr>
          <w:p w14:paraId="5BB06E3B" w14:textId="77777777" w:rsidR="00B22F97" w:rsidRDefault="00000000">
            <w:pPr>
              <w:spacing w:after="0"/>
            </w:pPr>
            <w:r>
              <w:rPr>
                <w:rFonts w:ascii="Consolas" w:hAnsi="Consolas"/>
                <w:color w:val="4F5F70"/>
                <w:sz w:val="20"/>
              </w:rPr>
              <w:t>Your Name</w:t>
            </w:r>
          </w:p>
        </w:tc>
        <w:tc>
          <w:tcPr>
            <w:tcW w:w="4104" w:type="dxa"/>
            <w:tcBorders>
              <w:top w:val="single" w:sz="8" w:space="0" w:color="D9E2EC"/>
              <w:left w:val="single" w:sz="8" w:space="0" w:color="D9E2EC"/>
              <w:bottom w:val="single" w:sz="8" w:space="0" w:color="D9E2EC"/>
              <w:right w:val="single" w:sz="8" w:space="0" w:color="D9E2EC"/>
            </w:tcBorders>
            <w:vAlign w:val="center"/>
          </w:tcPr>
          <w:p w14:paraId="1A81C28D" w14:textId="77777777" w:rsidR="00B22F97" w:rsidRDefault="00000000">
            <w:pPr>
              <w:spacing w:after="0"/>
            </w:pPr>
            <w:r>
              <w:t>DataOps Pipeline Orchestration, Code Development, and API Access Client Implementation</w:t>
            </w:r>
          </w:p>
        </w:tc>
        <w:tc>
          <w:tcPr>
            <w:tcW w:w="1152" w:type="dxa"/>
            <w:tcBorders>
              <w:top w:val="single" w:sz="8" w:space="0" w:color="D9E2EC"/>
              <w:left w:val="single" w:sz="8" w:space="0" w:color="D9E2EC"/>
              <w:bottom w:val="single" w:sz="8" w:space="0" w:color="D9E2EC"/>
              <w:right w:val="single" w:sz="8" w:space="0" w:color="D9E2EC"/>
            </w:tcBorders>
            <w:vAlign w:val="center"/>
          </w:tcPr>
          <w:p w14:paraId="7F114B06" w14:textId="77777777" w:rsidR="00B22F97" w:rsidRDefault="00B22F97">
            <w:pPr>
              <w:spacing w:after="0"/>
              <w:jc w:val="center"/>
            </w:pPr>
          </w:p>
        </w:tc>
      </w:tr>
    </w:tbl>
    <w:p w14:paraId="7C9839D9" w14:textId="77777777" w:rsidR="00B22F97" w:rsidRDefault="00B22F97"/>
    <w:p w14:paraId="76F02307" w14:textId="77777777" w:rsidR="00B22F97" w:rsidRDefault="00000000">
      <w:pPr>
        <w:pStyle w:val="Heading1"/>
      </w:pPr>
      <w:r>
        <w:t>1. System Architecture Overview</w:t>
      </w:r>
    </w:p>
    <w:p w14:paraId="757CC4A4" w14:textId="77777777" w:rsidR="00B22F97" w:rsidRDefault="00000000">
      <w:r>
        <w:t>Before delving into individual pipelines, it is crucial to understand the architectural shift executed during this project's lifecycle. Initially, the system was designed around cloud-native infrastructure leveraging AWS Lambda functions, Amazon Elastic Container Registry (ECR) Docker images, and Amazon CloudWatch log metric filters.</w:t>
      </w:r>
    </w:p>
    <w:p w14:paraId="4E90C695" w14:textId="77777777" w:rsidR="00B22F97" w:rsidRDefault="00000000">
      <w:r>
        <w:t>However, cloud-native deployments for iterative data science applications often suffer from significant operational bottlenecks, including container image caching latencies, cold-start suppression of logging structures, and brittle regex-based metric parsing rules.</w:t>
      </w:r>
    </w:p>
    <w:p w14:paraId="231F1779" w14:textId="77777777" w:rsidR="00B22F97" w:rsidRDefault="00000000">
      <w:r>
        <w:t xml:space="preserve">To maximize development velocity while strictly adhering to the assignment criteria, the architecture was pivoted to a local, high-velocity MLOps loop driven by </w:t>
      </w:r>
      <w:r>
        <w:rPr>
          <w:b/>
        </w:rPr>
        <w:t>MLflow Tracking Engines</w:t>
      </w:r>
      <w:r>
        <w:t xml:space="preserve">, </w:t>
      </w:r>
      <w:r>
        <w:rPr>
          <w:b/>
        </w:rPr>
        <w:t>Scikit-Learn modeling primitives</w:t>
      </w:r>
      <w:r>
        <w:t xml:space="preserve">, and an </w:t>
      </w:r>
      <w:r>
        <w:rPr>
          <w:b/>
        </w:rPr>
        <w:t>OS-level system daemon automation layer</w:t>
      </w:r>
      <w:r>
        <w:t>. This decoupling splits the compute environment from the logging environment, allowing for sub-second execution iterations, fully structured API queries, and programmatic tracking.</w:t>
      </w:r>
    </w:p>
    <w:p w14:paraId="7AD45286" w14:textId="77777777" w:rsidR="00B22F97" w:rsidRDefault="00000000">
      <w:pPr>
        <w:pStyle w:val="Heading1"/>
      </w:pPr>
      <w:r>
        <w:t>2. Sub-Objective 1 - Design and Development of a Data Pipeline</w:t>
      </w:r>
    </w:p>
    <w:p w14:paraId="3E6EC927" w14:textId="77777777" w:rsidR="00B22F97" w:rsidRDefault="00000000">
      <w:pPr>
        <w:ind w:left="216"/>
      </w:pPr>
      <w:r>
        <w:rPr>
          <w:b/>
          <w:i/>
          <w:color w:val="4F5F70"/>
        </w:rPr>
        <w:t>Weight:</w:t>
      </w:r>
      <w:r>
        <w:rPr>
          <w:i/>
          <w:color w:val="4F5F70"/>
        </w:rPr>
        <w:t xml:space="preserve"> 8 Marks</w:t>
      </w:r>
    </w:p>
    <w:p w14:paraId="3B27BB5A" w14:textId="77777777" w:rsidR="00B22F97" w:rsidRDefault="00000000">
      <w:pPr>
        <w:pStyle w:val="Heading2"/>
      </w:pPr>
      <w:r>
        <w:lastRenderedPageBreak/>
        <w:t>2.1 Business Understanding</w:t>
      </w:r>
    </w:p>
    <w:p w14:paraId="7E4B51E5" w14:textId="77777777" w:rsidR="00B22F97" w:rsidRDefault="00000000">
      <w:r>
        <w:t>In consumer-facing enterprises, customer churn—the rate at which customers terminate their subscription or transactional relationship—presents a critical threat to recurring revenue streams and long-term business sustainability. Acquiring a new customer is empirically five to twenty times more expensive than retaining an existing one. Therefore, building predictive capabilities to identify early indicators of attrition allows retention teams to deploy targeted promotional incentives proactively.</w:t>
      </w:r>
    </w:p>
    <w:p w14:paraId="2A91B51B" w14:textId="77777777" w:rsidR="00B22F97" w:rsidRDefault="00000000">
      <w:r>
        <w:t>The primary business objective of this application is to construct an automated predictive pipeline that ingests consumer behavioral data, applies rigorous data-clearing standards, discovers underlying statistical interactions, and formats feature matrices capable of classification modeling.</w:t>
      </w:r>
    </w:p>
    <w:p w14:paraId="32DD8A7A" w14:textId="77777777" w:rsidR="00B22F97" w:rsidRDefault="00000000">
      <w:pPr>
        <w:pStyle w:val="Heading2"/>
      </w:pPr>
      <w:r>
        <w:t>2.2 Data Ingestion Architecture</w:t>
      </w:r>
    </w:p>
    <w:p w14:paraId="7816309A" w14:textId="77777777" w:rsidR="00B22F97" w:rsidRDefault="00000000">
      <w:r>
        <w:t>The application leverages a customer dataset sourced from a public Kaggle repository. To ensure statistical significance, the ingestion module verifies that the source schema contains thousands of rows and multiple independent variables mapping customer behavior. The dataset consists of the following attributes:</w:t>
      </w:r>
    </w:p>
    <w:p w14:paraId="06536C53" w14:textId="77777777" w:rsidR="00B22F97" w:rsidRDefault="00000000">
      <w:pPr>
        <w:pStyle w:val="ListBullet"/>
      </w:pPr>
      <w:r>
        <w:rPr>
          <w:b/>
        </w:rPr>
        <w:t>Names:</w:t>
      </w:r>
      <w:r>
        <w:t xml:space="preserve"> Unique categorical string identifiers representing customer accounts.</w:t>
      </w:r>
    </w:p>
    <w:p w14:paraId="496F60AD" w14:textId="77777777" w:rsidR="00B22F97" w:rsidRDefault="00000000">
      <w:pPr>
        <w:pStyle w:val="ListBullet"/>
      </w:pPr>
      <w:r>
        <w:rPr>
          <w:b/>
        </w:rPr>
        <w:t>Age:</w:t>
      </w:r>
      <w:r>
        <w:t xml:space="preserve"> Continuous numeric variable capturing consumer demographics.</w:t>
      </w:r>
    </w:p>
    <w:p w14:paraId="50DCB359" w14:textId="77777777" w:rsidR="00B22F97" w:rsidRDefault="00000000">
      <w:pPr>
        <w:pStyle w:val="ListBullet"/>
      </w:pPr>
      <w:r>
        <w:rPr>
          <w:b/>
        </w:rPr>
        <w:t>Total_Purchase:</w:t>
      </w:r>
      <w:r>
        <w:t xml:space="preserve"> Continuous numeric variable summing historic expenditure.</w:t>
      </w:r>
    </w:p>
    <w:p w14:paraId="3DD949C1" w14:textId="77777777" w:rsidR="00B22F97" w:rsidRDefault="00000000">
      <w:pPr>
        <w:pStyle w:val="ListBullet"/>
      </w:pPr>
      <w:r>
        <w:rPr>
          <w:b/>
        </w:rPr>
        <w:t>Account_Manager:</w:t>
      </w:r>
      <w:r>
        <w:t xml:space="preserve"> Binary categorical flag indicating direct enterprise account assignment.</w:t>
      </w:r>
    </w:p>
    <w:p w14:paraId="53EF4495" w14:textId="77777777" w:rsidR="00B22F97" w:rsidRDefault="00000000">
      <w:pPr>
        <w:pStyle w:val="ListBullet"/>
      </w:pPr>
      <w:r>
        <w:rPr>
          <w:b/>
        </w:rPr>
        <w:t>Years:</w:t>
      </w:r>
      <w:r>
        <w:t xml:space="preserve"> Continuous numeric tracker of account age and customer loyalty.</w:t>
      </w:r>
    </w:p>
    <w:p w14:paraId="1D26EF4F" w14:textId="77777777" w:rsidR="00B22F97" w:rsidRDefault="00000000">
      <w:pPr>
        <w:pStyle w:val="ListBullet"/>
      </w:pPr>
      <w:r>
        <w:rPr>
          <w:b/>
        </w:rPr>
        <w:t>Num_Sites:</w:t>
      </w:r>
      <w:r>
        <w:t xml:space="preserve"> Continuous numeric integer indicating service usage volume.</w:t>
      </w:r>
    </w:p>
    <w:p w14:paraId="79B761BE" w14:textId="77777777" w:rsidR="00B22F97" w:rsidRDefault="00000000">
      <w:pPr>
        <w:pStyle w:val="ListBullet"/>
      </w:pPr>
      <w:r>
        <w:rPr>
          <w:b/>
        </w:rPr>
        <w:t>Onboard_date:</w:t>
      </w:r>
      <w:r>
        <w:t xml:space="preserve"> Timestamp strings indicating account creation times.</w:t>
      </w:r>
    </w:p>
    <w:p w14:paraId="0B2DB122" w14:textId="77777777" w:rsidR="00B22F97" w:rsidRDefault="00000000">
      <w:pPr>
        <w:pStyle w:val="ListBullet"/>
      </w:pPr>
      <w:r>
        <w:rPr>
          <w:b/>
        </w:rPr>
        <w:t>Location / Company:</w:t>
      </w:r>
      <w:r>
        <w:t xml:space="preserve"> High-cardinality categorical string arrays mapping physical addresses and employment networks.</w:t>
      </w:r>
    </w:p>
    <w:p w14:paraId="72F1299C" w14:textId="77777777" w:rsidR="00B22F97" w:rsidRDefault="00000000">
      <w:pPr>
        <w:pStyle w:val="ListBullet"/>
      </w:pPr>
      <w:r>
        <w:rPr>
          <w:b/>
        </w:rPr>
        <w:t>Churn:</w:t>
      </w:r>
      <w:r>
        <w:t xml:space="preserve"> The binary target flag column (1 = Churned, 0 = Retained), serving as our learning supervisor.</w:t>
      </w:r>
    </w:p>
    <w:p w14:paraId="28D631B8" w14:textId="77777777" w:rsidR="00B22F97" w:rsidRDefault="00000000">
      <w:pPr>
        <w:pStyle w:val="Heading2"/>
      </w:pPr>
      <w:r>
        <w:t>2.3 Data Pre-processing Pipeline Engineering</w:t>
      </w:r>
    </w:p>
    <w:p w14:paraId="3C3E36D6" w14:textId="77777777" w:rsidR="00B22F97" w:rsidRDefault="00000000">
      <w:r>
        <w:t xml:space="preserve">Raw enterprise data is inherently messy, filled with missing values, skewed scale distributions, and non-numeric fields. The file </w:t>
      </w:r>
      <w:r>
        <w:rPr>
          <w:rFonts w:ascii="Consolas" w:hAnsi="Consolas"/>
          <w:color w:val="4F5F70"/>
          <w:sz w:val="20"/>
        </w:rPr>
        <w:t>pipeline_utils.py</w:t>
      </w:r>
      <w:r>
        <w:t xml:space="preserve"> acts as an automated ingestion engine that applies the following processing operations sequentially:</w:t>
      </w:r>
    </w:p>
    <w:p w14:paraId="39CA8529" w14:textId="77777777" w:rsidR="00B22F97" w:rsidRDefault="00000000">
      <w:pPr>
        <w:pStyle w:val="Heading3"/>
      </w:pPr>
      <w:r>
        <w:t>2.3.1 Summary Statistics &amp; Type Diagnostics</w:t>
      </w:r>
    </w:p>
    <w:p w14:paraId="2963526F" w14:textId="77777777" w:rsidR="00B22F97" w:rsidRDefault="00000000">
      <w:r>
        <w:t>The pipeline scans the ingested file stream, running type-inference arrays to classify each feature as an object, float, or integer. It automatically isolates continuous variables from string descriptors and outputs statistical profiles containing percentiles, standard deviations, means, and minimum/maximum boundary checks to provide visibility into the data distribution.</w:t>
      </w:r>
    </w:p>
    <w:p w14:paraId="625E2C50" w14:textId="77777777" w:rsidR="00B22F97" w:rsidRDefault="00000000">
      <w:pPr>
        <w:pStyle w:val="Heading3"/>
      </w:pPr>
      <w:r>
        <w:lastRenderedPageBreak/>
        <w:t>2.3.2 Missing Value Imputation Engine</w:t>
      </w:r>
    </w:p>
    <w:p w14:paraId="51D6D78C" w14:textId="77777777" w:rsidR="00B22F97" w:rsidRDefault="00000000">
      <w:r>
        <w:t>To handle missing cells without introducing bias, a conditional imputation block evaluates column data types:</w:t>
      </w:r>
    </w:p>
    <w:p w14:paraId="3A17F193" w14:textId="77777777" w:rsidR="00B22F97" w:rsidRDefault="00000000">
      <w:pPr>
        <w:pStyle w:val="ListBullet"/>
      </w:pPr>
      <w:r>
        <w:rPr>
          <w:b/>
        </w:rPr>
        <w:t>Numeric Columns:</w:t>
      </w:r>
      <w:r>
        <w:t xml:space="preserve"> If a continuous feature exhibits missing values, it is automatically patched using the column's </w:t>
      </w:r>
      <w:r>
        <w:rPr>
          <w:b/>
        </w:rPr>
        <w:t>median</w:t>
      </w:r>
      <w:r>
        <w:t xml:space="preserve"> value. The median is selected over the mean to protect the imputation balance from being warped by extreme outliers.</w:t>
      </w:r>
    </w:p>
    <w:p w14:paraId="439B5477" w14:textId="77777777" w:rsidR="00B22F97" w:rsidRDefault="00000000">
      <w:pPr>
        <w:pStyle w:val="ListBullet"/>
      </w:pPr>
      <w:r>
        <w:rPr>
          <w:b/>
        </w:rPr>
        <w:t>Categorical Columns:</w:t>
      </w:r>
      <w:r>
        <w:t xml:space="preserve"> Any empty categorical strings are immediately filled using the </w:t>
      </w:r>
      <w:r>
        <w:rPr>
          <w:b/>
        </w:rPr>
        <w:t>mode</w:t>
      </w:r>
      <w:r>
        <w:t xml:space="preserve"> (the most frequently occurring attribute value within that category).</w:t>
      </w:r>
    </w:p>
    <w:p w14:paraId="39043EAF" w14:textId="77777777" w:rsidR="00B22F97" w:rsidRDefault="00000000">
      <w:pPr>
        <w:pStyle w:val="Heading3"/>
      </w:pPr>
      <w:r>
        <w:t>2.3.3 High-Cardinality String Dropping</w:t>
      </w:r>
    </w:p>
    <w:p w14:paraId="72E5972A" w14:textId="77777777" w:rsidR="00B22F97" w:rsidRDefault="00000000">
      <w:r>
        <w:t xml:space="preserve">Unique string metadata—specifically </w:t>
      </w:r>
      <w:r>
        <w:rPr>
          <w:rFonts w:ascii="Consolas" w:hAnsi="Consolas"/>
          <w:color w:val="4F5F70"/>
          <w:sz w:val="20"/>
        </w:rPr>
        <w:t>Names</w:t>
      </w:r>
      <w:r>
        <w:t xml:space="preserve">, </w:t>
      </w:r>
      <w:r>
        <w:rPr>
          <w:rFonts w:ascii="Consolas" w:hAnsi="Consolas"/>
          <w:color w:val="4F5F70"/>
          <w:sz w:val="20"/>
        </w:rPr>
        <w:t>Onboard_date</w:t>
      </w:r>
      <w:r>
        <w:t xml:space="preserve">, </w:t>
      </w:r>
      <w:r>
        <w:rPr>
          <w:rFonts w:ascii="Consolas" w:hAnsi="Consolas"/>
          <w:color w:val="4F5F70"/>
          <w:sz w:val="20"/>
        </w:rPr>
        <w:t>Location</w:t>
      </w:r>
      <w:r>
        <w:t xml:space="preserve">, and </w:t>
      </w:r>
      <w:r>
        <w:rPr>
          <w:rFonts w:ascii="Consolas" w:hAnsi="Consolas"/>
          <w:color w:val="4F5F70"/>
          <w:sz w:val="20"/>
        </w:rPr>
        <w:t>Company</w:t>
      </w:r>
      <w:r>
        <w:t>—possess high cardinality (nearly every record has a unique value). If these variables are passed to an ML algorithm or transformed via one-hot encoding, they introduce extreme dimensionality ("the curse of dimensionality"), causing model over-fitting. The pipeline programmatically drops these identifiers, preserving only predictive behavioral signals.</w:t>
      </w:r>
    </w:p>
    <w:p w14:paraId="6CE50D0F" w14:textId="77777777" w:rsidR="00B22F97" w:rsidRDefault="00000000">
      <w:pPr>
        <w:pStyle w:val="Heading3"/>
      </w:pPr>
      <w:r>
        <w:t>2.3.4 Categorical Variable One-Hot Encoding</w:t>
      </w:r>
    </w:p>
    <w:p w14:paraId="2A32DA62" w14:textId="77777777" w:rsidR="00B22F97" w:rsidRDefault="00000000">
      <w:r>
        <w:t xml:space="preserve">Categorical features like </w:t>
      </w:r>
      <w:r>
        <w:rPr>
          <w:rFonts w:ascii="Consolas" w:hAnsi="Consolas"/>
          <w:color w:val="4F5F70"/>
          <w:sz w:val="20"/>
        </w:rPr>
        <w:t>Account_Manager</w:t>
      </w:r>
      <w:r>
        <w:t xml:space="preserve"> are prepared using one-hot bit transformation. This creates independent binary vector structures (0 or 1) across categories, enabling linear and tree-based mathematical operators to compute logical gradients without assigning unintended ordinal rankings.</w:t>
      </w:r>
    </w:p>
    <w:p w14:paraId="7BF0A4A9" w14:textId="77777777" w:rsidR="00B22F97" w:rsidRDefault="00000000">
      <w:pPr>
        <w:pStyle w:val="Heading3"/>
      </w:pPr>
      <w:r>
        <w:t>2.3.5 Feature Scaling and Normalization</w:t>
      </w:r>
    </w:p>
    <w:p w14:paraId="59E9D709" w14:textId="77777777" w:rsidR="00B22F97" w:rsidRDefault="00000000">
      <w:r>
        <w:t xml:space="preserve">Features with large numeric variances (e.g., </w:t>
      </w:r>
      <w:r>
        <w:rPr>
          <w:rFonts w:ascii="Consolas" w:hAnsi="Consolas"/>
          <w:color w:val="4F5F70"/>
          <w:sz w:val="20"/>
        </w:rPr>
        <w:t>Total_Purchase</w:t>
      </w:r>
      <w:r>
        <w:t xml:space="preserve"> ranging in the thousands vs. </w:t>
      </w:r>
      <w:r>
        <w:rPr>
          <w:rFonts w:ascii="Consolas" w:hAnsi="Consolas"/>
          <w:color w:val="4F5F70"/>
          <w:sz w:val="20"/>
        </w:rPr>
        <w:t>Years</w:t>
      </w:r>
      <w:r>
        <w:t xml:space="preserve"> ranging in single digits) will dominate model weight calculations erroneously. The data pipeline implements a </w:t>
      </w:r>
      <w:r>
        <w:rPr>
          <w:b/>
        </w:rPr>
        <w:t>StandardScaler transformation</w:t>
      </w:r>
      <w:r>
        <w:t xml:space="preserve"> to normalize features. It transforms variables to have a mean of 0 and a standard deviation of 1 using the formula:</w:t>
      </w:r>
    </w:p>
    <w:p w14:paraId="7AEB66D5" w14:textId="77777777" w:rsidR="00B22F97" w:rsidRDefault="00000000">
      <w:pPr>
        <w:spacing w:before="80" w:after="160"/>
        <w:jc w:val="center"/>
      </w:pPr>
      <w:r>
        <w:rPr>
          <w:rFonts w:ascii="Cambria Math" w:hAnsi="Cambria Math"/>
          <w:i/>
        </w:rPr>
        <w:t>z = \frac{x - \mu}{\sigma}</w:t>
      </w:r>
    </w:p>
    <w:p w14:paraId="33D4EF2B" w14:textId="77777777" w:rsidR="00B22F97" w:rsidRDefault="00000000">
      <w:r>
        <w:t>Where x is the raw feature value, \mu represents the feature mean, and \sigma represents the standard deviation.</w:t>
      </w:r>
    </w:p>
    <w:p w14:paraId="0AE80CC8" w14:textId="77777777" w:rsidR="00B22F97" w:rsidRDefault="00000000">
      <w:pPr>
        <w:pStyle w:val="Heading2"/>
      </w:pPr>
      <w:r>
        <w:t>2.4 Exploratory Data Analysis (EDA) Automation</w:t>
      </w:r>
    </w:p>
    <w:p w14:paraId="033F0510" w14:textId="77777777" w:rsidR="00B22F97" w:rsidRDefault="00000000">
      <w:r>
        <w:t>To uncover underlying feature patterns programmatically, the pipeline performs automated bivariate and univariate exploratory calculations:</w:t>
      </w:r>
    </w:p>
    <w:p w14:paraId="23B1F754" w14:textId="77777777" w:rsidR="00B22F97" w:rsidRDefault="00000000">
      <w:pPr>
        <w:pStyle w:val="Heading3"/>
      </w:pPr>
      <w:r>
        <w:t>2.4.1 Pearson Product-Moment Correlation Matrix</w:t>
      </w:r>
    </w:p>
    <w:p w14:paraId="7D6A140D" w14:textId="77777777" w:rsidR="00B22F97" w:rsidRDefault="00000000">
      <w:r>
        <w:t>The pipeline calculates the exact correlation strength between numerical variables to identify multicollinearity. The computation evaluates the linear dependency between features using the Pearson formula:</w:t>
      </w:r>
    </w:p>
    <w:p w14:paraId="699032F4" w14:textId="77777777" w:rsidR="00B22F97" w:rsidRDefault="00000000">
      <w:pPr>
        <w:spacing w:before="80" w:after="160"/>
        <w:jc w:val="center"/>
      </w:pPr>
      <w:r>
        <w:rPr>
          <w:rFonts w:ascii="Cambria Math" w:hAnsi="Cambria Math"/>
          <w:i/>
        </w:rPr>
        <w:t>r = \frac{\sum (X_i - \bar{X})(Y_i - \bar{Y})}{\sqrt{\sum (X_i - \bar{X})^2 \sum (Y_i - \bar{Y})^2}}</w:t>
      </w:r>
    </w:p>
    <w:p w14:paraId="5BFF9A9F" w14:textId="77777777" w:rsidR="00B22F97" w:rsidRDefault="00000000">
      <w:r>
        <w:lastRenderedPageBreak/>
        <w:t xml:space="preserve">The resulting matrix isolates strong positive or negative relationships with the target variable </w:t>
      </w:r>
      <w:r>
        <w:rPr>
          <w:rFonts w:ascii="Consolas" w:hAnsi="Consolas"/>
          <w:color w:val="4F5F70"/>
          <w:sz w:val="20"/>
        </w:rPr>
        <w:t>Churn</w:t>
      </w:r>
      <w:r>
        <w:t xml:space="preserve"> and prints a structured statistical slice to the console log stream.</w:t>
      </w:r>
    </w:p>
    <w:p w14:paraId="77DBB9BF" w14:textId="77777777" w:rsidR="00B22F97" w:rsidRDefault="00000000">
      <w:pPr>
        <w:pStyle w:val="Heading2"/>
      </w:pPr>
      <w:r>
        <w:t>2.5 DataOps Workflow Orchestration</w:t>
      </w:r>
    </w:p>
    <w:p w14:paraId="4371DB7C" w14:textId="77777777" w:rsidR="00B22F97" w:rsidRDefault="00000000">
      <w:r>
        <w:t>To convert these analytical scripts into an active, self-sustaining pipeline, DataOps automation is implemented. A bash harness (</w:t>
      </w:r>
      <w:r>
        <w:rPr>
          <w:rFonts w:ascii="Consolas" w:hAnsi="Consolas"/>
          <w:color w:val="4F5F70"/>
          <w:sz w:val="20"/>
        </w:rPr>
        <w:t>run_pipeline.sh</w:t>
      </w:r>
      <w:r>
        <w:t xml:space="preserve">) is linked to an operating-system-level background daemon called </w:t>
      </w:r>
      <w:r>
        <w:rPr>
          <w:b/>
        </w:rPr>
        <w:t>Cron</w:t>
      </w:r>
      <w:r>
        <w:t xml:space="preserve">. This background scheduler is configured using the expression </w:t>
      </w:r>
      <w:r>
        <w:rPr>
          <w:rFonts w:ascii="Consolas" w:hAnsi="Consolas"/>
          <w:color w:val="4F5F70"/>
          <w:sz w:val="20"/>
        </w:rPr>
        <w:t>*/2 * * * *</w:t>
      </w:r>
      <w:r>
        <w:t xml:space="preserve">, forcing the system to execute the ingestion, imputation, encoding, and scale normalization processes </w:t>
      </w:r>
      <w:r>
        <w:rPr>
          <w:b/>
        </w:rPr>
        <w:t>every 2 minutes</w:t>
      </w:r>
      <w:r>
        <w:t xml:space="preserve"> completely unattended.</w:t>
      </w:r>
    </w:p>
    <w:p w14:paraId="01FDEAB5" w14:textId="77777777" w:rsidR="00B22F97" w:rsidRDefault="00000000">
      <w:r>
        <w:t xml:space="preserve">All terminal outputs, exceptions, and data shapes are programmatically redirected to a local tracking document named </w:t>
      </w:r>
      <w:r>
        <w:rPr>
          <w:rFonts w:ascii="Consolas" w:hAnsi="Consolas"/>
          <w:color w:val="4F5F70"/>
          <w:sz w:val="20"/>
        </w:rPr>
        <w:t>pipeline_execution.log</w:t>
      </w:r>
      <w:r>
        <w:t>. This setup creates an append-only transaction log that mimics a cloud-native streaming data monitoring dashboard.</w:t>
      </w:r>
    </w:p>
    <w:tbl>
      <w:tblPr>
        <w:tblW w:w="9360" w:type="dxa"/>
        <w:jc w:val="center"/>
        <w:tblCellMar>
          <w:top w:w="140" w:type="dxa"/>
          <w:left w:w="160" w:type="dxa"/>
          <w:bottom w:w="140" w:type="dxa"/>
          <w:right w:w="160" w:type="dxa"/>
        </w:tblCellMar>
        <w:tblLook w:val="04A0" w:firstRow="1" w:lastRow="0" w:firstColumn="1" w:lastColumn="0" w:noHBand="0" w:noVBand="1"/>
      </w:tblPr>
      <w:tblGrid>
        <w:gridCol w:w="9360"/>
      </w:tblGrid>
      <w:tr w:rsidR="00B22F97" w14:paraId="7FA49718" w14:textId="77777777">
        <w:trPr>
          <w:jc w:val="center"/>
        </w:trPr>
        <w:tc>
          <w:tcPr>
            <w:tcW w:w="9360" w:type="dxa"/>
            <w:tcBorders>
              <w:top w:val="single" w:sz="8" w:space="0" w:color="D9E2EC"/>
              <w:left w:val="single" w:sz="8" w:space="0" w:color="D9E2EC"/>
              <w:bottom w:val="single" w:sz="8" w:space="0" w:color="D9E2EC"/>
              <w:right w:val="single" w:sz="8" w:space="0" w:color="D9E2EC"/>
            </w:tcBorders>
            <w:shd w:val="clear" w:color="auto" w:fill="F4F6F9"/>
            <w:vAlign w:val="center"/>
          </w:tcPr>
          <w:p w14:paraId="0521E03F" w14:textId="77777777" w:rsidR="00B22F97" w:rsidRDefault="00000000">
            <w:pPr>
              <w:spacing w:after="0"/>
            </w:pPr>
            <w:r>
              <w:rPr>
                <w:b/>
              </w:rPr>
              <w:t>Screenshot placeholder</w:t>
            </w:r>
            <w:r>
              <w:t xml:space="preserve"> </w:t>
            </w:r>
            <w:r>
              <w:rPr>
                <w:b/>
              </w:rPr>
              <w:t>Image requirements:</w:t>
            </w:r>
            <w:r>
              <w:t xml:space="preserve"> Take a clear screenshot of your open </w:t>
            </w:r>
            <w:r>
              <w:rPr>
                <w:rFonts w:ascii="Consolas" w:hAnsi="Consolas"/>
                <w:color w:val="4F5F70"/>
                <w:sz w:val="20"/>
              </w:rPr>
              <w:t>pipeline_execution.log</w:t>
            </w:r>
            <w:r>
              <w:t xml:space="preserve"> file within VS Code. The screenshot must display multiple automated history entries showing the exact </w:t>
            </w:r>
            <w:r>
              <w:rPr>
                <w:b/>
              </w:rPr>
              <w:t>2-minute timestamp intervals</w:t>
            </w:r>
            <w:r>
              <w:t xml:space="preserve"> matching the automated scheduler runs.</w:t>
            </w:r>
          </w:p>
        </w:tc>
      </w:tr>
    </w:tbl>
    <w:p w14:paraId="68456C1F" w14:textId="77777777" w:rsidR="00B22F97" w:rsidRDefault="00B22F97"/>
    <w:p w14:paraId="4A51D5ED" w14:textId="77777777" w:rsidR="00B22F97" w:rsidRDefault="00000000">
      <w:pPr>
        <w:pStyle w:val="Heading1"/>
      </w:pPr>
      <w:r>
        <w:t>3. Sub-Objective 2 - Design and Development of a Machine Learning Pipeline</w:t>
      </w:r>
    </w:p>
    <w:p w14:paraId="4088B7D2" w14:textId="77777777" w:rsidR="00B22F97" w:rsidRDefault="00000000">
      <w:pPr>
        <w:ind w:left="216"/>
      </w:pPr>
      <w:r>
        <w:rPr>
          <w:b/>
          <w:i/>
          <w:color w:val="4F5F70"/>
        </w:rPr>
        <w:t>Weight:</w:t>
      </w:r>
      <w:r>
        <w:rPr>
          <w:i/>
          <w:color w:val="4F5F70"/>
        </w:rPr>
        <w:t xml:space="preserve"> 5 Marks</w:t>
      </w:r>
    </w:p>
    <w:p w14:paraId="5800BB25" w14:textId="77777777" w:rsidR="00B22F97" w:rsidRDefault="00000000">
      <w:pPr>
        <w:pStyle w:val="Heading2"/>
      </w:pPr>
      <w:r>
        <w:t>3.1 Model Preparation and Theoretical Selection</w:t>
      </w:r>
    </w:p>
    <w:p w14:paraId="2F185BB3" w14:textId="77777777" w:rsidR="00B22F97" w:rsidRDefault="00000000">
      <w:r>
        <w:t>To classify binary customer churn, two distinct machine learning algorithms were selected to compare a linear parametric baseline against a non-linear ensemble model:</w:t>
      </w:r>
    </w:p>
    <w:p w14:paraId="5482B306" w14:textId="77777777" w:rsidR="00B22F97" w:rsidRDefault="00000000">
      <w:pPr>
        <w:pStyle w:val="Heading3"/>
      </w:pPr>
      <w:r>
        <w:t>3.1.1 Algorithm 1: Logistic Regression</w:t>
      </w:r>
    </w:p>
    <w:p w14:paraId="351AD495" w14:textId="77777777" w:rsidR="00B22F97" w:rsidRDefault="00000000">
      <w:r>
        <w:t xml:space="preserve">Logistic Regression is a foundational parametric classification model that predicts the probability of a binary outcome (0 or 1). Instead of fitting a straight line directly to the target, it models the log-odds of the target variable using the </w:t>
      </w:r>
      <w:r>
        <w:rPr>
          <w:b/>
        </w:rPr>
        <w:t>Sigmoid logistic function</w:t>
      </w:r>
      <w:r>
        <w:t>:</w:t>
      </w:r>
    </w:p>
    <w:p w14:paraId="615A2514" w14:textId="77777777" w:rsidR="00B22F97" w:rsidRDefault="00000000">
      <w:pPr>
        <w:spacing w:before="80" w:after="160"/>
        <w:jc w:val="center"/>
      </w:pPr>
      <w:r>
        <w:rPr>
          <w:rFonts w:ascii="Cambria Math" w:hAnsi="Cambria Math"/>
          <w:i/>
        </w:rPr>
        <w:t>P(Y=1|X) = \frac{1}{1 + e^{-(\beta_0 + \beta_1 X_1 + \dots + \beta_n X_n)}}</w:t>
      </w:r>
    </w:p>
    <w:p w14:paraId="5A4D5F02" w14:textId="77777777" w:rsidR="00B22F97" w:rsidRDefault="00000000">
      <w:r>
        <w:t>The model uses maximum likelihood estimation to adjust its internal weights (\beta), outputting a continuous probability boundary between 0 and 1. If the probability exceeds 0.5, the customer is classified as a churn risk (1). This model acts as an efficient baseline due to its high interpretability and low computational overhead.</w:t>
      </w:r>
    </w:p>
    <w:p w14:paraId="6542BB66" w14:textId="77777777" w:rsidR="00B22F97" w:rsidRDefault="00000000">
      <w:pPr>
        <w:pStyle w:val="Heading3"/>
      </w:pPr>
      <w:r>
        <w:t>3.1.2 Algorithm 2: Random Forest Classifier</w:t>
      </w:r>
    </w:p>
    <w:p w14:paraId="4C1C1291" w14:textId="77777777" w:rsidR="00B22F97" w:rsidRDefault="00000000">
      <w:r>
        <w:t xml:space="preserve">The Random Forest Classifier is a non-parametric ensemble learning method based on bootstrap aggregation (bagging). It constructs an array of independent decision trees during training. Each tree is </w:t>
      </w:r>
      <w:r>
        <w:lastRenderedPageBreak/>
        <w:t>trained on a random sample of the data (with replacement) and evaluates a random subset of features at each node split.</w:t>
      </w:r>
    </w:p>
    <w:p w14:paraId="6C012EB2" w14:textId="77777777" w:rsidR="00B22F97" w:rsidRDefault="00000000">
      <w:r>
        <w:t xml:space="preserve">The final prediction is determined by a majority vote across all individual trees. This architectural voting mechanism mitigates over-fitting, captures non-linear feature interactions (such as the combined impact of high </w:t>
      </w:r>
      <w:r>
        <w:rPr>
          <w:rFonts w:ascii="Consolas" w:hAnsi="Consolas"/>
          <w:color w:val="4F5F70"/>
          <w:sz w:val="20"/>
        </w:rPr>
        <w:t>Num_Sites</w:t>
      </w:r>
      <w:r>
        <w:t xml:space="preserve"> and low </w:t>
      </w:r>
      <w:r>
        <w:rPr>
          <w:rFonts w:ascii="Consolas" w:hAnsi="Consolas"/>
          <w:color w:val="4F5F70"/>
          <w:sz w:val="20"/>
        </w:rPr>
        <w:t>Years</w:t>
      </w:r>
      <w:r>
        <w:t xml:space="preserve"> of tenure), and avoids reliance on single features.</w:t>
      </w:r>
    </w:p>
    <w:p w14:paraId="046963B2" w14:textId="77777777" w:rsidR="00B22F97" w:rsidRDefault="00000000">
      <w:pPr>
        <w:pStyle w:val="Heading2"/>
      </w:pPr>
      <w:r>
        <w:t>3.2 Machine Learning Matrix Partitioning (70/30 Split)</w:t>
      </w:r>
    </w:p>
    <w:p w14:paraId="5A224EE5" w14:textId="77777777" w:rsidR="00B22F97" w:rsidRDefault="00000000">
      <w:r>
        <w:t xml:space="preserve">To establish rigorous validation boundaries, the dataset is split into training and testing sets. The </w:t>
      </w:r>
      <w:r>
        <w:rPr>
          <w:rFonts w:ascii="Consolas" w:hAnsi="Consolas"/>
          <w:color w:val="4F5F70"/>
          <w:sz w:val="20"/>
        </w:rPr>
        <w:t>train.py</w:t>
      </w:r>
      <w:r>
        <w:t xml:space="preserve"> script applies a </w:t>
      </w:r>
      <w:r>
        <w:rPr>
          <w:b/>
        </w:rPr>
        <w:t>strict 70% training matrix and 30% testing matrix split</w:t>
      </w:r>
      <w:r>
        <w:t xml:space="preserve"> via Scikit-Learn.</w:t>
      </w:r>
    </w:p>
    <w:p w14:paraId="71399FF9" w14:textId="77777777" w:rsidR="00B22F97" w:rsidRDefault="00000000">
      <w:r>
        <w:t>The training matrix (70\%) is used by the algorithms to optimize internal coefficients and node structures. The testing matrix (30\%) is withheld entirely during training, serving as an unseen evaluation dataset to measure generalization performance on new customer records.</w:t>
      </w:r>
    </w:p>
    <w:p w14:paraId="4ABB0C2B" w14:textId="77777777" w:rsidR="00B22F97" w:rsidRDefault="00000000">
      <w:pPr>
        <w:pStyle w:val="Heading2"/>
      </w:pPr>
      <w:r>
        <w:t>3.3 MLOps Pipeline Integration &amp; Metric Tracking</w:t>
      </w:r>
    </w:p>
    <w:p w14:paraId="04CE9914" w14:textId="77777777" w:rsidR="00B22F97" w:rsidRDefault="00000000">
      <w:r>
        <w:t xml:space="preserve">To track and monitor model metrics efficiently without cloud overhead, the application integrates </w:t>
      </w:r>
      <w:r>
        <w:rPr>
          <w:b/>
        </w:rPr>
        <w:t>MLflow Tracking APIs</w:t>
      </w:r>
      <w:r>
        <w:t xml:space="preserve"> natively. The </w:t>
      </w:r>
      <w:r>
        <w:rPr>
          <w:rFonts w:ascii="Consolas" w:hAnsi="Consolas"/>
          <w:color w:val="4F5F70"/>
          <w:sz w:val="20"/>
        </w:rPr>
        <w:t>train.py</w:t>
      </w:r>
      <w:r>
        <w:t xml:space="preserve"> script wraps the model execution workflows within isolated tracking run environments (</w:t>
      </w:r>
      <w:r>
        <w:rPr>
          <w:rFonts w:ascii="Consolas" w:hAnsi="Consolas"/>
          <w:color w:val="4F5F70"/>
          <w:sz w:val="20"/>
        </w:rPr>
        <w:t>mlflow.start_run()</w:t>
      </w:r>
      <w:r>
        <w:t>).</w:t>
      </w:r>
    </w:p>
    <w:p w14:paraId="04D34460" w14:textId="77777777" w:rsidR="00B22F97" w:rsidRDefault="00000000">
      <w:r>
        <w:t xml:space="preserve">Once predictions are generated against the validation matrix, the framework evaluates model performance using </w:t>
      </w:r>
      <w:r>
        <w:rPr>
          <w:b/>
        </w:rPr>
        <w:t>four distinct classification metrics</w:t>
      </w:r>
      <w:r>
        <w:t>:</w:t>
      </w:r>
    </w:p>
    <w:p w14:paraId="37F2BB84" w14:textId="77777777" w:rsidR="00B22F97" w:rsidRDefault="00000000">
      <w:pPr>
        <w:pStyle w:val="Heading3"/>
      </w:pPr>
      <w:r>
        <w:t>3.3.1 Accuracy Tracking</w:t>
      </w:r>
    </w:p>
    <w:p w14:paraId="761089F8" w14:textId="77777777" w:rsidR="00B22F97" w:rsidRDefault="00000000">
      <w:r>
        <w:t>Measures the overall proportion of correct classifications (both churned and retained) relative to total evaluations:</w:t>
      </w:r>
    </w:p>
    <w:p w14:paraId="7389F92F" w14:textId="77777777" w:rsidR="00B22F97" w:rsidRDefault="00000000">
      <w:pPr>
        <w:spacing w:before="80" w:after="160"/>
        <w:jc w:val="center"/>
      </w:pPr>
      <w:r>
        <w:rPr>
          <w:rFonts w:ascii="Cambria Math" w:hAnsi="Cambria Math"/>
          <w:i/>
        </w:rPr>
        <w:t>\text{Accuracy} = \frac{\text{True Positives (TP)} + \text{True Negatives (TN)}}{\text{True Positives (TP)} + \text{True Negatives (TN)} + \text{False Positives (FP)} + \text{False Negatives (FN)}}</w:t>
      </w:r>
    </w:p>
    <w:p w14:paraId="0F29774A" w14:textId="77777777" w:rsidR="00B22F97" w:rsidRDefault="00000000">
      <w:pPr>
        <w:pStyle w:val="Heading3"/>
      </w:pPr>
      <w:r>
        <w:t>3.3.2 Precision Tracking</w:t>
      </w:r>
    </w:p>
    <w:p w14:paraId="44D2050F" w14:textId="77777777" w:rsidR="00B22F97" w:rsidRDefault="00000000">
      <w:r>
        <w:t>Measures the model's accuracy when predicting true churn risks, minimizing costly false alarms:</w:t>
      </w:r>
    </w:p>
    <w:p w14:paraId="4818EC9C" w14:textId="77777777" w:rsidR="00B22F97" w:rsidRDefault="00000000">
      <w:pPr>
        <w:spacing w:before="80" w:after="160"/>
        <w:jc w:val="center"/>
      </w:pPr>
      <w:r>
        <w:rPr>
          <w:rFonts w:ascii="Cambria Math" w:hAnsi="Cambria Math"/>
          <w:i/>
        </w:rPr>
        <w:t>\text{Precision} = \frac{\text{True Positives (TP)}}{\text{True Positives (TP)} + \text{False Positives (FP)}}</w:t>
      </w:r>
    </w:p>
    <w:p w14:paraId="7F3A068B" w14:textId="77777777" w:rsidR="00B22F97" w:rsidRDefault="00000000">
      <w:pPr>
        <w:pStyle w:val="Heading3"/>
      </w:pPr>
      <w:r>
        <w:t>3.3.3 Recall Tracking (Sensitivity)</w:t>
      </w:r>
    </w:p>
    <w:p w14:paraId="7019F595" w14:textId="77777777" w:rsidR="00B22F97" w:rsidRDefault="00000000">
      <w:r>
        <w:t>Measures the percentage of actual churned customers that the model correctly flags, indicating its ability to identify risk:</w:t>
      </w:r>
    </w:p>
    <w:p w14:paraId="2EEF5555" w14:textId="77777777" w:rsidR="00B22F97" w:rsidRDefault="00000000">
      <w:pPr>
        <w:spacing w:before="80" w:after="160"/>
        <w:jc w:val="center"/>
      </w:pPr>
      <w:r>
        <w:rPr>
          <w:rFonts w:ascii="Cambria Math" w:hAnsi="Cambria Math"/>
          <w:i/>
        </w:rPr>
        <w:t>\text{Recall} = \frac{\text{True Positives (TP)}}{\text{True Positives (TP)} + \text{False Negatives (FN)}}</w:t>
      </w:r>
    </w:p>
    <w:p w14:paraId="2EA96FA1" w14:textId="77777777" w:rsidR="00B22F97" w:rsidRDefault="00000000">
      <w:pPr>
        <w:pStyle w:val="Heading3"/>
      </w:pPr>
      <w:r>
        <w:t>3.3.4 F1-Score Tracking</w:t>
      </w:r>
    </w:p>
    <w:p w14:paraId="352C2D7C" w14:textId="77777777" w:rsidR="00B22F97" w:rsidRDefault="00000000">
      <w:r>
        <w:t>Calculates the harmonic mean of Precision and Recall, providing a single balanced metric for evaluate model performance on imbalanced datasets:</w:t>
      </w:r>
    </w:p>
    <w:p w14:paraId="7AD9B826" w14:textId="77777777" w:rsidR="00B22F97" w:rsidRDefault="00000000">
      <w:pPr>
        <w:spacing w:before="80" w:after="160"/>
        <w:jc w:val="center"/>
      </w:pPr>
      <w:r>
        <w:rPr>
          <w:rFonts w:ascii="Cambria Math" w:hAnsi="Cambria Math"/>
          <w:i/>
        </w:rPr>
        <w:lastRenderedPageBreak/>
        <w:t>\text{F1-Score} = 2 \times \frac{\text{Precision} \times \text{Recall}}{\text{Precision} + \text{Recall}}</w:t>
      </w:r>
    </w:p>
    <w:p w14:paraId="0D7A7C4C" w14:textId="77777777" w:rsidR="00B22F97" w:rsidRDefault="00000000">
      <w:r>
        <w:t xml:space="preserve">These metrics are logged to the tracking server using </w:t>
      </w:r>
      <w:r>
        <w:rPr>
          <w:rFonts w:ascii="Consolas" w:hAnsi="Consolas"/>
          <w:color w:val="4F5F70"/>
          <w:sz w:val="20"/>
        </w:rPr>
        <w:t>mlflow.log_metric()</w:t>
      </w:r>
      <w:r>
        <w:t xml:space="preserve">, while hyperparameters are logged using </w:t>
      </w:r>
      <w:r>
        <w:rPr>
          <w:rFonts w:ascii="Consolas" w:hAnsi="Consolas"/>
          <w:color w:val="4F5F70"/>
          <w:sz w:val="20"/>
        </w:rPr>
        <w:t>mlflow.log_param()</w:t>
      </w:r>
      <w:r>
        <w:t xml:space="preserve">. The serialized model artifacts are stored via </w:t>
      </w:r>
      <w:r>
        <w:rPr>
          <w:rFonts w:ascii="Consolas" w:hAnsi="Consolas"/>
          <w:color w:val="4F5F70"/>
          <w:sz w:val="20"/>
        </w:rPr>
        <w:t>mlflow.sklearn.log_model()</w:t>
      </w:r>
      <w:r>
        <w:t>.</w:t>
      </w:r>
    </w:p>
    <w:tbl>
      <w:tblPr>
        <w:tblW w:w="9360" w:type="dxa"/>
        <w:jc w:val="center"/>
        <w:tblCellMar>
          <w:top w:w="140" w:type="dxa"/>
          <w:left w:w="160" w:type="dxa"/>
          <w:bottom w:w="140" w:type="dxa"/>
          <w:right w:w="160" w:type="dxa"/>
        </w:tblCellMar>
        <w:tblLook w:val="04A0" w:firstRow="1" w:lastRow="0" w:firstColumn="1" w:lastColumn="0" w:noHBand="0" w:noVBand="1"/>
      </w:tblPr>
      <w:tblGrid>
        <w:gridCol w:w="9360"/>
      </w:tblGrid>
      <w:tr w:rsidR="00B22F97" w14:paraId="1016B075" w14:textId="77777777">
        <w:trPr>
          <w:jc w:val="center"/>
        </w:trPr>
        <w:tc>
          <w:tcPr>
            <w:tcW w:w="9360" w:type="dxa"/>
            <w:tcBorders>
              <w:top w:val="single" w:sz="8" w:space="0" w:color="D9E2EC"/>
              <w:left w:val="single" w:sz="8" w:space="0" w:color="D9E2EC"/>
              <w:bottom w:val="single" w:sz="8" w:space="0" w:color="D9E2EC"/>
              <w:right w:val="single" w:sz="8" w:space="0" w:color="D9E2EC"/>
            </w:tcBorders>
            <w:shd w:val="clear" w:color="auto" w:fill="F4F6F9"/>
            <w:vAlign w:val="center"/>
          </w:tcPr>
          <w:p w14:paraId="2EFF3811" w14:textId="77777777" w:rsidR="00B22F97" w:rsidRDefault="00000000">
            <w:pPr>
              <w:spacing w:after="0"/>
            </w:pPr>
            <w:r>
              <w:rPr>
                <w:b/>
              </w:rPr>
              <w:t>Screenshot placeholder</w:t>
            </w:r>
            <w:r>
              <w:t xml:space="preserve"> </w:t>
            </w:r>
            <w:r>
              <w:rPr>
                <w:b/>
              </w:rPr>
              <w:t>Image requirements:</w:t>
            </w:r>
            <w:r>
              <w:t xml:space="preserve"> Take a screenshot of your web browser open to your local MLflow UI dashboard (</w:t>
            </w:r>
            <w:r>
              <w:rPr>
                <w:rFonts w:ascii="Consolas" w:hAnsi="Consolas"/>
                <w:color w:val="4F5F70"/>
                <w:sz w:val="20"/>
              </w:rPr>
              <w:t>http://127.0.0.1:5000</w:t>
            </w:r>
            <w:r>
              <w:t xml:space="preserve">). Select both the Random Forest and Logistic Regression model runs and click </w:t>
            </w:r>
            <w:r>
              <w:rPr>
                <w:b/>
              </w:rPr>
              <w:t>Compare</w:t>
            </w:r>
            <w:r>
              <w:t xml:space="preserve"> to show your metrics side-by-side.</w:t>
            </w:r>
          </w:p>
        </w:tc>
      </w:tr>
    </w:tbl>
    <w:p w14:paraId="517C2888" w14:textId="77777777" w:rsidR="00B22F97" w:rsidRDefault="00B22F97"/>
    <w:p w14:paraId="232BD3CE" w14:textId="77777777" w:rsidR="00B22F97" w:rsidRDefault="00000000">
      <w:pPr>
        <w:pStyle w:val="Heading1"/>
      </w:pPr>
      <w:r>
        <w:t>4. Sub-Objective 3 - API Access</w:t>
      </w:r>
    </w:p>
    <w:p w14:paraId="63695CFA" w14:textId="77777777" w:rsidR="00B22F97" w:rsidRDefault="00000000">
      <w:pPr>
        <w:ind w:left="216"/>
      </w:pPr>
      <w:r>
        <w:rPr>
          <w:b/>
          <w:i/>
          <w:color w:val="4F5F70"/>
        </w:rPr>
        <w:t>Weight:</w:t>
      </w:r>
      <w:r>
        <w:rPr>
          <w:i/>
          <w:color w:val="4F5F70"/>
        </w:rPr>
        <w:t xml:space="preserve"> 2 Marks</w:t>
      </w:r>
    </w:p>
    <w:p w14:paraId="5C20C62D" w14:textId="77777777" w:rsidR="00B22F97" w:rsidRDefault="00000000">
      <w:pPr>
        <w:pStyle w:val="Heading2"/>
      </w:pPr>
      <w:r>
        <w:t>4.1 Programmatic Application Retrieval</w:t>
      </w:r>
    </w:p>
    <w:p w14:paraId="705F80A4" w14:textId="77777777" w:rsidR="00B22F97" w:rsidRDefault="00000000">
      <w:r>
        <w:t>Modern MLOps architectures favor decoupled programmatic access interfaces over manual web-based console checks. Sub-Objective 3 requires accessing the application's runtime metrics and pipeline structures programmatically via APIs.</w:t>
      </w:r>
    </w:p>
    <w:p w14:paraId="1AD6FAAF" w14:textId="77777777" w:rsidR="00B22F97" w:rsidRDefault="00000000">
      <w:r>
        <w:t xml:space="preserve">This is achieved by implementing </w:t>
      </w:r>
      <w:r>
        <w:rPr>
          <w:rFonts w:ascii="Consolas" w:hAnsi="Consolas"/>
          <w:color w:val="4F5F70"/>
          <w:sz w:val="20"/>
        </w:rPr>
        <w:t>query_metrics.py</w:t>
      </w:r>
      <w:r>
        <w:t xml:space="preserve">, which utilizes the native python </w:t>
      </w:r>
      <w:r>
        <w:rPr>
          <w:b/>
        </w:rPr>
        <w:t>`mlflow.tracking.MlflowClient()` library API</w:t>
      </w:r>
      <w:r>
        <w:t xml:space="preserve"> to bypass the graphical dashboard entirely. The script queries the underlying database logs directly, providing programmatic access to operational parameters.</w:t>
      </w:r>
    </w:p>
    <w:p w14:paraId="445BBCA7" w14:textId="77777777" w:rsidR="00B22F97" w:rsidRDefault="00000000">
      <w:pPr>
        <w:pStyle w:val="Heading2"/>
      </w:pPr>
      <w:r>
        <w:t>4.2 Display of Key Application Details</w:t>
      </w:r>
    </w:p>
    <w:p w14:paraId="0E612B89" w14:textId="77777777" w:rsidR="00B22F97" w:rsidRDefault="00000000">
      <w:r>
        <w:t xml:space="preserve">The API access script programmatically extracts and displays </w:t>
      </w:r>
      <w:r>
        <w:rPr>
          <w:b/>
        </w:rPr>
        <w:t>four distinct application details</w:t>
      </w:r>
      <w:r>
        <w:t xml:space="preserve"> for verification:</w:t>
      </w:r>
    </w:p>
    <w:p w14:paraId="40CFEA94" w14:textId="77777777" w:rsidR="00B22F97" w:rsidRDefault="00000000">
      <w:pPr>
        <w:pStyle w:val="ListNumber"/>
      </w:pPr>
      <w:r>
        <w:rPr>
          <w:b/>
        </w:rPr>
        <w:t>Unique Run Identifier (Run ID):</w:t>
      </w:r>
      <w:r>
        <w:t xml:space="preserve"> The precise, deployment-level UUID string generated automatically by the tracking engine to isolate the execution instance.</w:t>
      </w:r>
    </w:p>
    <w:p w14:paraId="0367185F" w14:textId="77777777" w:rsidR="00B22F97" w:rsidRDefault="00000000">
      <w:pPr>
        <w:pStyle w:val="ListNumber"/>
      </w:pPr>
      <w:r>
        <w:rPr>
          <w:b/>
        </w:rPr>
        <w:t>Execution Flow Name:</w:t>
      </w:r>
      <w:r>
        <w:t xml:space="preserve"> The model parameter label designating which training pipeline flow initialized the metric event (e.g., </w:t>
      </w:r>
      <w:r>
        <w:rPr>
          <w:rFonts w:ascii="Consolas" w:hAnsi="Consolas"/>
          <w:color w:val="4F5F70"/>
          <w:sz w:val="20"/>
        </w:rPr>
        <w:t>Random_Forest_Classifier</w:t>
      </w:r>
      <w:r>
        <w:t>).</w:t>
      </w:r>
    </w:p>
    <w:p w14:paraId="251E9781" w14:textId="77777777" w:rsidR="00B22F97" w:rsidRDefault="00000000">
      <w:pPr>
        <w:pStyle w:val="ListNumber"/>
      </w:pPr>
      <w:r>
        <w:rPr>
          <w:b/>
        </w:rPr>
        <w:t>Local Source Script Origin:</w:t>
      </w:r>
      <w:r>
        <w:t xml:space="preserve"> The system directory path tracking the parent script that triggered the API call, ensuring full pipeline traceability.</w:t>
      </w:r>
    </w:p>
    <w:p w14:paraId="21A70309" w14:textId="77777777" w:rsidR="00B22F97" w:rsidRDefault="00000000">
      <w:pPr>
        <w:pStyle w:val="ListNumber"/>
      </w:pPr>
      <w:r>
        <w:rPr>
          <w:b/>
        </w:rPr>
        <w:t>Captured Runtime Performance Metrics:</w:t>
      </w:r>
      <w:r>
        <w:t xml:space="preserve"> A dictionary mapping payload containing the recorded values for Accuracy, Precision, Recall, and F1-Score.</w:t>
      </w:r>
    </w:p>
    <w:p w14:paraId="1F2C3B93" w14:textId="77777777" w:rsidR="00B22F97" w:rsidRDefault="00000000">
      <w:r>
        <w:t>This data is printed directly to the standard terminal output, satisfying the API programmatic accessibility requirement.</w:t>
      </w:r>
    </w:p>
    <w:tbl>
      <w:tblPr>
        <w:tblW w:w="9360" w:type="dxa"/>
        <w:jc w:val="center"/>
        <w:tblCellMar>
          <w:top w:w="140" w:type="dxa"/>
          <w:left w:w="160" w:type="dxa"/>
          <w:bottom w:w="140" w:type="dxa"/>
          <w:right w:w="160" w:type="dxa"/>
        </w:tblCellMar>
        <w:tblLook w:val="04A0" w:firstRow="1" w:lastRow="0" w:firstColumn="1" w:lastColumn="0" w:noHBand="0" w:noVBand="1"/>
      </w:tblPr>
      <w:tblGrid>
        <w:gridCol w:w="9360"/>
      </w:tblGrid>
      <w:tr w:rsidR="00B22F97" w14:paraId="47D92A12" w14:textId="77777777">
        <w:trPr>
          <w:jc w:val="center"/>
        </w:trPr>
        <w:tc>
          <w:tcPr>
            <w:tcW w:w="9360" w:type="dxa"/>
            <w:tcBorders>
              <w:top w:val="single" w:sz="8" w:space="0" w:color="D9E2EC"/>
              <w:left w:val="single" w:sz="8" w:space="0" w:color="D9E2EC"/>
              <w:bottom w:val="single" w:sz="8" w:space="0" w:color="D9E2EC"/>
              <w:right w:val="single" w:sz="8" w:space="0" w:color="D9E2EC"/>
            </w:tcBorders>
            <w:shd w:val="clear" w:color="auto" w:fill="F4F6F9"/>
            <w:vAlign w:val="center"/>
          </w:tcPr>
          <w:p w14:paraId="7EF63EEE" w14:textId="77777777" w:rsidR="00B22F97" w:rsidRDefault="00000000">
            <w:pPr>
              <w:spacing w:after="0"/>
            </w:pPr>
            <w:r>
              <w:rPr>
                <w:b/>
              </w:rPr>
              <w:t>Screenshot placeholder</w:t>
            </w:r>
            <w:r>
              <w:t xml:space="preserve"> </w:t>
            </w:r>
            <w:r>
              <w:rPr>
                <w:b/>
              </w:rPr>
              <w:t>Image requirements:</w:t>
            </w:r>
            <w:r>
              <w:t xml:space="preserve"> Run </w:t>
            </w:r>
            <w:r>
              <w:rPr>
                <w:rFonts w:ascii="Consolas" w:hAnsi="Consolas"/>
                <w:color w:val="4F5F70"/>
                <w:sz w:val="20"/>
              </w:rPr>
              <w:t>python query_metrics.py</w:t>
            </w:r>
            <w:r>
              <w:t xml:space="preserve"> in your terminal window and capture a screenshot of the clean console printout displaying all four required runtime </w:t>
            </w:r>
            <w:r>
              <w:lastRenderedPageBreak/>
              <w:t>details for your models.</w:t>
            </w:r>
          </w:p>
        </w:tc>
      </w:tr>
    </w:tbl>
    <w:p w14:paraId="712FC6E2" w14:textId="77777777" w:rsidR="00B22F97" w:rsidRDefault="00B22F97"/>
    <w:p w14:paraId="4230B1FD" w14:textId="77777777" w:rsidR="00B22F97" w:rsidRDefault="00000000">
      <w:pPr>
        <w:pStyle w:val="ListNumber"/>
      </w:pPr>
      <w:r>
        <w:rPr>
          <w:b/>
        </w:rPr>
        <w:t>Video Demonstration Walkthrough:</w:t>
      </w:r>
      <w:r>
        <w:t xml:space="preserve"> A comprehensive, step-by-step video walkthrough has been recorded. The recording demonstrates the automated log updates, model training loops, the live local tracking interface, and the programmatic API client queries. The video artifact has been uploaded to the shared Google Drive repository.</w:t>
      </w:r>
    </w:p>
    <w:p w14:paraId="61291E29" w14:textId="77777777" w:rsidR="00B22F97" w:rsidRDefault="00000000">
      <w:r>
        <w:rPr>
          <w:b/>
        </w:rPr>
        <w:t>Google Drive Verification URL:</w:t>
      </w:r>
      <w:r>
        <w:t xml:space="preserve"> </w:t>
      </w:r>
      <w:r>
        <w:rPr>
          <w:rFonts w:ascii="Consolas" w:hAnsi="Consolas"/>
          <w:color w:val="4F5F70"/>
          <w:sz w:val="20"/>
        </w:rPr>
        <w:t>&lt;Paste your team's uploaded video share link here&gt;</w:t>
      </w:r>
    </w:p>
    <w:p w14:paraId="0176F047" w14:textId="77777777" w:rsidR="00B22F97" w:rsidRDefault="00000000">
      <w:pPr>
        <w:jc w:val="center"/>
      </w:pPr>
      <w:r>
        <w:rPr>
          <w:i/>
          <w:color w:val="4F5F70"/>
        </w:rPr>
        <w:t>End of Report Document</w:t>
      </w:r>
    </w:p>
    <w:sectPr w:rsidR="00B22F97"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35777A" w14:textId="77777777" w:rsidR="00F3110D" w:rsidRDefault="00F3110D">
      <w:pPr>
        <w:spacing w:after="0" w:line="240" w:lineRule="auto"/>
      </w:pPr>
      <w:r>
        <w:separator/>
      </w:r>
    </w:p>
  </w:endnote>
  <w:endnote w:type="continuationSeparator" w:id="0">
    <w:p w14:paraId="06FE4025" w14:textId="77777777" w:rsidR="00F3110D" w:rsidRDefault="00F31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4007E" w14:textId="77777777" w:rsidR="00B22F97" w:rsidRDefault="00000000">
    <w:pPr>
      <w:pStyle w:val="Footer"/>
      <w:jc w:val="right"/>
    </w:pPr>
    <w:r>
      <w:rPr>
        <w:color w:val="74828F"/>
        <w:sz w:val="18"/>
      </w:rPr>
      <w:t>CCZG506 Assignment 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9C1B74" w14:textId="77777777" w:rsidR="00F3110D" w:rsidRDefault="00F3110D">
      <w:pPr>
        <w:spacing w:after="0" w:line="240" w:lineRule="auto"/>
      </w:pPr>
      <w:r>
        <w:separator/>
      </w:r>
    </w:p>
  </w:footnote>
  <w:footnote w:type="continuationSeparator" w:id="0">
    <w:p w14:paraId="6D32DA05" w14:textId="77777777" w:rsidR="00F3110D" w:rsidRDefault="00F311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4857695">
    <w:abstractNumId w:val="8"/>
  </w:num>
  <w:num w:numId="2" w16cid:durableId="1569609823">
    <w:abstractNumId w:val="6"/>
  </w:num>
  <w:num w:numId="3" w16cid:durableId="1695501598">
    <w:abstractNumId w:val="5"/>
  </w:num>
  <w:num w:numId="4" w16cid:durableId="1375688963">
    <w:abstractNumId w:val="4"/>
  </w:num>
  <w:num w:numId="5" w16cid:durableId="1236009439">
    <w:abstractNumId w:val="7"/>
  </w:num>
  <w:num w:numId="6" w16cid:durableId="71896633">
    <w:abstractNumId w:val="3"/>
  </w:num>
  <w:num w:numId="7" w16cid:durableId="606887718">
    <w:abstractNumId w:val="2"/>
  </w:num>
  <w:num w:numId="8" w16cid:durableId="1786730952">
    <w:abstractNumId w:val="1"/>
  </w:num>
  <w:num w:numId="9" w16cid:durableId="5142241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19F"/>
    <w:rsid w:val="00A74A5A"/>
    <w:rsid w:val="00AA1D8D"/>
    <w:rsid w:val="00B22F97"/>
    <w:rsid w:val="00B47730"/>
    <w:rsid w:val="00CB0664"/>
    <w:rsid w:val="00F311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78B0F"/>
  <w14:defaultImageDpi w14:val="300"/>
  <w15:docId w15:val="{5F39BEB8-D8EB-564E-A820-10C83B59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4F5F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1862</Words>
  <Characters>12328</Characters>
  <Application>Microsoft Office Word</Application>
  <DocSecurity>0</DocSecurity>
  <Lines>220</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Ashwin Chhibber</cp:lastModifiedBy>
  <cp:revision>2</cp:revision>
  <dcterms:created xsi:type="dcterms:W3CDTF">2013-12-23T23:15:00Z</dcterms:created>
  <dcterms:modified xsi:type="dcterms:W3CDTF">2026-07-07T09:45:00Z</dcterms:modified>
  <cp:category/>
</cp:coreProperties>
</file>