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DLGenAI — Smart MCQ Solver Challenge</w:t>
      </w:r>
    </w:p>
    <w:p>
      <w:pPr>
        <w:spacing w:after="40"/>
      </w:pPr>
      <w:r>
        <w:rPr>
          <w:color w:val="444444"/>
          <w:sz w:val="28"/>
          <w:szCs w:val="28"/>
        </w:rPr>
        <w:t xml:space="preserve">Milestone 4 Report: Multiple-Choice Modeling with BERT + LoRA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Author: Ashwin  |  Program: IIT Madras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50"/>
      </w:pPr>
      <w:r>
        <w:t xml:space="preserve">This milestone formulates the Smart MCQ Solver Challenge as a multiple-choice classification problem. The pipeline converts each Kaggle-format question (one prompt + five options A–E) into model-ready inputs, feeds them through AutoModelForMultipleChoice to produce logits over the five options, applies LoRA for parameter-efficient fine-tuning, and runs a small Hugging Face Trainer fine-tuning loop end to end.</w:t>
      </w:r>
    </w:p>
    <w:p>
      <w:pPr>
        <w:pStyle w:val="Heading2"/>
        <w:spacing w:after="150" w:before="300"/>
      </w:pPr>
      <w:r>
        <w:t xml:space="preserve">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 / 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3.10.12</w:t>
            </w:r>
          </w:p>
        </w:tc>
      </w:tr>
      <w:tr>
        <w:tc>
          <w:tcPr>
            <w:tcW w:type="dxa" w:w="468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Linux 6.6.114.1-microsoft-standard-WSL2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NumPy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2.2.6</w:t>
            </w:r>
          </w:p>
        </w:tc>
      </w:tr>
      <w:tr>
        <w:tc>
          <w:tcPr>
            <w:tcW w:type="dxa" w:w="468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Pandas</w:t>
            </w:r>
          </w:p>
        </w:tc>
        <w:tc>
          <w:tcPr>
            <w:tcW w:type="dxa" w:w="468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2.3.3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PyTorch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2.5.1+cu121</w:t>
            </w:r>
          </w:p>
        </w:tc>
      </w:tr>
      <w:tr>
        <w:tc>
          <w:tcPr>
            <w:tcW w:type="dxa" w:w="468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Transformers</w:t>
            </w:r>
          </w:p>
        </w:tc>
        <w:tc>
          <w:tcPr>
            <w:tcW w:type="dxa" w:w="468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5.13.0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Device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cuda (NVIDIA GeForce RTX 3050 Laptop GPU, 4.29 GB VRAM)</w:t>
            </w:r>
          </w:p>
        </w:tc>
      </w:tr>
      <w:tr>
        <w:tc>
          <w:tcPr>
            <w:tcW w:type="dxa" w:w="468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model</w:t>
            </w:r>
          </w:p>
        </w:tc>
        <w:tc>
          <w:tcPr>
            <w:tcW w:type="dxa" w:w="468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bert-base-uncased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Shape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Columns</w:t>
            </w:r>
          </w:p>
        </w:tc>
      </w:tr>
      <w:tr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train.csv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2000 rows x 8 cols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prompt, A, B, C, D, E, answer</w:t>
            </w:r>
          </w:p>
        </w:tc>
      </w:tr>
      <w:tr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test.csv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 rows x 7 cols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prompt, A, B, C, D, E</w:t>
            </w:r>
          </w:p>
        </w:tc>
      </w:tr>
      <w:tr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sample_submission.csv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 rows x 2 cols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answer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No missing values were found in any column of train.csv. Each question has exactly one prompt and five options (A–E), with a single correct answer letter.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2. Multiple-Choice Data Formatting</w:t>
      </w:r>
    </w:p>
    <w:p>
      <w:pPr>
        <w:spacing w:after="150"/>
      </w:pPr>
      <w:r>
        <w:t xml:space="preserve">Each Kaggle row (one prompt + five options) is expanded so every option is paired separately with its prompt, in the format: str(prompt) + " [SEP] " + str(option). This produces five (prompt, option) sequences per question, matching the input structure multiple-choice transformer models expect.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Q1. Label Encoding</w:t>
      </w:r>
    </w:p>
    <w:p>
      <w:pPr>
        <w:spacing w:after="100"/>
      </w:pPr>
      <w:r>
        <w:rPr>
          <w:i/>
          <w:iCs/>
          <w:color w:val="555555"/>
        </w:rPr>
        <w:t xml:space="preserve">Convert the answer column into numeric labels (A=0, B=1, C=2, D=3, E=4). What is the encoded label for row index 150?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2</w:t>
            </w:r>
          </w:p>
          <w:p>
            <w:r>
              <w:rPr>
                <w:sz w:val="20"/>
                <w:szCs w:val="20"/>
              </w:rPr>
              <w:t xml:space="preserve">Row index 150 (id 151) has answer = "C", which maps to label = 2 under the given A→0 … E→4 scheme.</w:t>
            </w:r>
          </w:p>
        </w:tc>
      </w:tr>
    </w:tbl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Q2. Prompt-Option Formatting</w:t>
      </w:r>
    </w:p>
    <w:p>
      <w:pPr>
        <w:spacing w:after="100"/>
      </w:pPr>
      <w:r>
        <w:rPr>
          <w:i/>
          <w:iCs/>
          <w:color w:val="555555"/>
        </w:rPr>
        <w:t xml:space="preserve">For row index 0, format the Option B input as str(prompt) + " [SEP] " + str(option_B). What is the character length of this string?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407 characters</w:t>
            </w:r>
          </w:p>
          <w:p>
            <w:r>
              <w:rPr>
                <w:sz w:val="20"/>
                <w:szCs w:val="20"/>
              </w:rPr>
              <w:t xml:space="preserve">The prompt ("Pick the best possible answer: What is Martin Heidegger's view…") concatenated with " [SEP] " and Option B's text yields a string of exactly 407 characters.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3. Tokenization for Multiple-Choice Models</w:t>
      </w:r>
    </w:p>
    <w:p>
      <w:pPr>
        <w:spacing w:after="150"/>
      </w:pPr>
      <w:r>
        <w:t xml:space="preserve">Multiple-choice models expect inputs shaped [batch_size, num_choices, sequence_length]. Since every question has five options, each row expands into five tokenized sequences before being stacked back into the 3-D shape the model consumes.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Q3. Single-Row MCQ Tokenization</w:t>
      </w:r>
    </w:p>
    <w:p>
      <w:pPr>
        <w:spacing w:after="100"/>
      </w:pPr>
      <w:r>
        <w:rPr>
          <w:i/>
          <w:iCs/>
          <w:color w:val="555555"/>
        </w:rPr>
        <w:t xml:space="preserve">Tokenize the five formatted inputs for row index 0 with bert-base-uncased (padding="max_length", truncation=True, max_length=128, return_tensors="pt"). After reshaping, input_ids has shape [1, 5, 128]. What is the second dimension?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5</w:t>
            </w:r>
          </w:p>
          <w:p>
            <w:r>
              <w:rPr>
                <w:sz w:val="20"/>
                <w:szCs w:val="20"/>
              </w:rPr>
              <w:t xml:space="preserve">The second dimension is the number of choices per question (A–E). The first dimension (1) is the batch size for a single question, and the third (128) is max_length.</w:t>
            </w:r>
          </w:p>
        </w:tc>
      </w:tr>
    </w:tbl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Q4. Batch MCQ Tokenization</w:t>
      </w:r>
    </w:p>
    <w:p>
      <w:pPr>
        <w:spacing w:after="100"/>
      </w:pPr>
      <w:r>
        <w:rPr>
          <w:i/>
          <w:iCs/>
          <w:color w:val="555555"/>
        </w:rPr>
        <w:t xml:space="preserve">Tokenize the first 16 rows (5 choices each, 128 tokens each). The final input_ids tensor has shape [16, 5, 128]. How many total token positions does it contain?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10,240</w:t>
            </w:r>
          </w:p>
          <w:p>
            <w:r>
              <w:rPr>
                <w:sz w:val="20"/>
                <w:szCs w:val="20"/>
              </w:rPr>
              <w:t xml:space="preserve">16 questions x 5 choices x 128 tokens = 10,240 total token positions (equivalently, tensor.numel()).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4. Multiple-Choice Model Outputs</w:t>
      </w:r>
    </w:p>
    <w:p>
      <w:pPr>
        <w:spacing w:after="150"/>
      </w:pPr>
      <w:r>
        <w:t xml:space="preserve">AutoModelForMultipleChoice produces one logit per option, so a single question yields a [1, 5] logits tensor — one score for each of A through E.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Q5. Multiple-Choice Logits</w:t>
      </w:r>
    </w:p>
    <w:p>
      <w:pPr>
        <w:spacing w:after="100"/>
      </w:pPr>
      <w:r>
        <w:rPr>
          <w:i/>
          <w:iCs/>
          <w:color w:val="555555"/>
        </w:rPr>
        <w:t xml:space="preserve">Load bert-base-uncased with AutoModelForMultipleChoice, tokenize row 0's five choices, and run a forward pass. The logits tensor has shape [1, 5]. How many logits are produced for one question?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5</w:t>
            </w:r>
          </w:p>
          <w:p>
            <w:r>
              <w:rPr>
                <w:sz w:val="20"/>
                <w:szCs w:val="20"/>
              </w:rPr>
              <w:t xml:space="preserve">Observed logits for row 0 (pre-fine-tuning, randomly-initialized classifier head): [0.1339, 0.1430, 0.1523, 0.1377, 0.1631]. The load report also confirms cls.predictions.* / cls.seq_relationship.* (MLM/NSP heads) are UNEXPECTED and discarded, while classifier.weight/bias are MISSING and randomly initialized — expected behavior when loading a base checkpoint into a multiple-choice head.</w:t>
            </w:r>
          </w:p>
        </w:tc>
      </w:tr>
    </w:tbl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Q6. Supervised Loss Tensor</w:t>
      </w:r>
    </w:p>
    <w:p>
      <w:pPr>
        <w:spacing w:after="100"/>
      </w:pPr>
      <w:r>
        <w:rPr>
          <w:i/>
          <w:iCs/>
          <w:color w:val="555555"/>
        </w:rPr>
        <w:t xml:space="preserve">Pass row 0's tokenized 5-choice input into the model together with the correct encoded label. The model returns a scalar loss. How many dimensions does this loss tensor have?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0 dimensions (a scalar, torch.Size([]))</w:t>
            </w:r>
          </w:p>
          <w:p>
            <w:r>
              <w:rPr>
                <w:sz w:val="20"/>
                <w:szCs w:val="20"/>
              </w:rPr>
              <w:t xml:space="preserve">Observed loss for row 0: 1.6287 (close to ln(5) ≈ 1.609, consistent with a near-random, untrained classifier head across 5 classes). CrossEntropyLoss's default 'mean' reduction collapses the per-example loss into a bare scalar — shape torch.Size([]) — rather than a 1-D tensor of shape [1].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5. LoRA for Efficient Fine-Tuning</w:t>
      </w:r>
    </w:p>
    <w:p>
      <w:pPr>
        <w:spacing w:after="150"/>
      </w:pPr>
      <w:r>
        <w:t xml:space="preserve">LoRA freezes the pretrained base model and injects small trainable low-rank adapter matrices into selected linear layers (here, the query and value projections of each attention block), dramatically reducing the number of trainable parameters.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Q7. LoRA Trainable Parameters</w:t>
      </w:r>
    </w:p>
    <w:p>
      <w:pPr>
        <w:spacing w:after="100"/>
      </w:pPr>
      <w:r>
        <w:rPr>
          <w:i/>
          <w:iCs/>
          <w:color w:val="555555"/>
        </w:rPr>
        <w:t xml:space="preserve">Apply LoRA (r=8, lora_alpha=16, target_modules=["query","value"], lora_dropout=0.1, bias="none", task_type=TaskType.SEQ_CLS) to the multiple-choice model. How many parameters are trainable?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295,681 trainable parameters</w:t>
            </w:r>
          </w:p>
          <w:p>
            <w:r>
              <w:rPr>
                <w:sz w:val="20"/>
                <w:szCs w:val="20"/>
              </w:rPr>
              <w:t xml:space="preserve">Total model parameters: 109,778,690. Trainable fraction: 0.2693%. LoRA adapters on the query/value projections across all 12 transformer layers, plus the (randomly-initialized) classifier head, account for this small trainable subset while the rest of BERT remains frozen.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6. Preparing Data for Hugging Face Trainer</w:t>
      </w:r>
    </w:p>
    <w:p>
      <w:pPr>
        <w:spacing w:after="150"/>
      </w:pPr>
      <w:r>
        <w:t xml:space="preserve">Before training, the dataset is converted into a Hugging Face Dataset with tokenized input_ids, attention_mask (both [5, 128] per example), and a numeric label — the format Trainer expects.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Q8. Hugging Face Dataset Preparation</w:t>
      </w:r>
    </w:p>
    <w:p>
      <w:pPr>
        <w:spacing w:after="100"/>
      </w:pPr>
      <w:r>
        <w:rPr>
          <w:i/>
          <w:iCs/>
          <w:color w:val="555555"/>
        </w:rPr>
        <w:t xml:space="preserve">Build a Hugging Face Dataset from the first 100 rows, with input_ids [5, 128], attention_mask [5, 128], and labels. For the first item, how many tokenized choices are stored in input_ids?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5</w:t>
            </w:r>
          </w:p>
          <w:p>
            <w:r>
              <w:rPr>
                <w:sz w:val="20"/>
                <w:szCs w:val="20"/>
              </w:rPr>
              <w:t xml:space="preserve">Observed for the first dataset item: input_ids shape torch.Size([5, 128]), label = 1 (Option B). The leading dimension of 5 corresponds to the five tokenized (prompt, option) choices for that question.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7. Tiny Fine-Tuning and Inference</w:t>
      </w:r>
    </w:p>
    <w:p>
      <w:pPr>
        <w:spacing w:after="150"/>
      </w:pPr>
      <w:r>
        <w:t xml:space="preserve">A very small LoRA fine-tuning run is executed with Hugging Face Trainer on 32 examples, then the fine-tuned model is used to produce option probabilities via softmax.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Q9. Tiny LoRA Fine-Tuning</w:t>
      </w:r>
    </w:p>
    <w:p>
      <w:pPr>
        <w:spacing w:after="100"/>
      </w:pPr>
      <w:r>
        <w:rPr>
          <w:i/>
          <w:iCs/>
          <w:color w:val="555555"/>
        </w:rPr>
        <w:t xml:space="preserve">Fine-tune a LoRA multiple-choice model on the first 32 rows (max_length=64, per_device_train_batch_size=4, gradient_accumulation_steps=1, max_steps=4). What is the final global_step reported by the Trainer?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4</w:t>
            </w:r>
          </w:p>
          <w:p>
            <w:r>
              <w:rPr>
                <w:sz w:val="20"/>
                <w:szCs w:val="20"/>
              </w:rPr>
              <w:t xml:space="preserve">max_steps takes priority over num_train_epochs — training halts as soon as global_step reaches 4, regardless of how much of the 32-row dataset has been seen (4 steps x batch size 4 = 16 of 32 examples processed).</w:t>
            </w:r>
          </w:p>
        </w:tc>
      </w:tr>
    </w:tbl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Q10. Probability Assigned to Option E After Fine-Tuning</w:t>
      </w:r>
    </w:p>
    <w:p>
      <w:pPr>
        <w:spacing w:after="100"/>
      </w:pPr>
      <w:r>
        <w:rPr>
          <w:i/>
          <w:iCs/>
          <w:color w:val="555555"/>
        </w:rPr>
        <w:t xml:space="preserve">Using the fine-tuned LoRA model from Q9, run inference on row index 0 and apply softmax to the logits. What is the probability assigned to Option E (rounded to 4 decimal places)?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Answer: </w:t>
            </w:r>
            <w:r>
              <w:rPr>
                <w:b/>
                <w:bCs/>
                <w:color w:val="1F4E79"/>
              </w:rPr>
              <w:t xml:space="preserve">0.1970</w:t>
            </w:r>
          </w:p>
          <w:p>
            <w:r>
              <w:rPr>
                <w:sz w:val="20"/>
                <w:szCs w:val="20"/>
              </w:rPr>
              <w:t xml:space="preserve">Full softmax distribution for row 0 (A, B, C, D, E): [0.2031, 0.2005, 0.2028, 0.1966, 0.1970]. After only 4 optimizer steps on 16 examples, probabilities remain close to uniform (~0.20 each) — expected, since this is a smoke-test-scale run rather than full convergence. Result was produced with set_seed(42) for reproducibility.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8. Summary of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Q1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 Encoding (row 150)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Q2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Prompt-Option length (row 0, Option B)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407</w:t>
            </w:r>
          </w:p>
        </w:tc>
      </w:tr>
      <w:tr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Q3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input_ids second dimension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Q4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token positions (16 x 5 x 128)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10,240</w:t>
            </w:r>
          </w:p>
        </w:tc>
      </w:tr>
      <w:tr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Q5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Logits produced per question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Q6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Loss tensor dimensions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(scalar)</w:t>
            </w:r>
          </w:p>
        </w:tc>
      </w:tr>
      <w:tr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Q7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LoRA trainable parameters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295,681</w:t>
            </w:r>
          </w:p>
        </w:tc>
      </w:tr>
      <w:tr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Q8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Tokenized choices in input_ids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Q9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global_step</w:t>
            </w:r>
          </w:p>
        </w:tc>
        <w:tc>
          <w:tcPr>
            <w:tcW w:type="dxa" w:w="31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Q10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P(Option E) after fine-tuning</w:t>
            </w:r>
          </w:p>
        </w:tc>
        <w:tc>
          <w:tcPr>
            <w:tcW w:type="dxa" w:w="3120"/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0.1970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9. Observations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base bert-base-uncased checkpoint loads cleanly into AutoModelForMultipleChoice, with only the pretraining heads (MLM/NSP) discarded and a fresh classifier head initialized — as expected for this architecture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Pre-fine-tuning logits/loss (Q5, Q6) show near-uniform, near-random behavior (loss ≈ ln(5)), confirming the classifier head starts untrained.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LoRA reduces trainable parameters to ~0.27% of the full model (295,681 of 109,778,690), making fine-tuning feasible on a 4 GB RTX 3050 laptop GPU.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Q9/Q10 fine-tuning run is intentionally tiny (32 examples, 4 steps) for pipeline validation — probabilities remain close to uniform (Q10), so no meaningful accuracy gain is expected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milestone: scale up training data and steps, add an evaluation split, and track accuracy/loss curves (e.g., via Weights &amp; Biases) to assess real fine-tuning performance before generating the Kaggle submission.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2026-07-16T12:40:26.738Z</dcterms:created>
  <dcterms:modified xsi:type="dcterms:W3CDTF">2026-07-16T12:40:26.752Z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