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59" w:lineRule="exact"/>
        <w:rPr>
          <w:sz w:val="24"/>
          <w:szCs w:val="24"/>
          <w:color w:val="auto"/>
        </w:rPr>
      </w:pPr>
    </w:p>
    <w:p>
      <w:pPr>
        <w:ind w:left="360" w:right="1120"/>
        <w:spacing w:after="0" w:line="407" w:lineRule="auto"/>
        <w:rPr>
          <w:sz w:val="20"/>
          <w:szCs w:val="20"/>
          <w:color w:val="auto"/>
        </w:rPr>
      </w:pPr>
      <w:r>
        <w:rPr>
          <w:rFonts w:ascii="Cambria" w:cs="Cambria" w:eastAsia="Cambria" w:hAnsi="Cambria"/>
          <w:sz w:val="32"/>
          <w:szCs w:val="32"/>
          <w:color w:val="073763"/>
        </w:rPr>
        <w:t>The Importance of Risk Assessment in Outdoor Education Program Planning</w:t>
      </w:r>
    </w:p>
    <w:p>
      <w:pPr>
        <w:ind w:left="360" w:right="400"/>
        <w:spacing w:after="0" w:line="274" w:lineRule="auto"/>
        <w:rPr>
          <w:sz w:val="20"/>
          <w:szCs w:val="20"/>
          <w:color w:val="auto"/>
        </w:rPr>
      </w:pPr>
      <w:r>
        <w:rPr>
          <w:rFonts w:ascii="Cambria" w:cs="Cambria" w:eastAsia="Cambria" w:hAnsi="Cambria"/>
          <w:sz w:val="22"/>
          <w:szCs w:val="22"/>
          <w:color w:val="auto"/>
        </w:rPr>
        <w:t>Outdoor and environmental education plays an integral role in fostering an appreciation for nature among students, as well as instilling a sense of adventure and physical fitness. Beyond being an enjoyable departure from the traditional classroom setting, these programs can challenge students, provide opportunities for personal development, and enhance team-building skills. However, outdoor activities inherently entail certain risks, and conducting thorough risk assessments is critical to ensure the safety of participants. As we look beyond September 2023, the imperative for meticulous planning in outdoor education has never been more significant.</w:t>
      </w:r>
    </w:p>
    <w:p>
      <w:pPr>
        <w:spacing w:after="0" w:line="8"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Understanding the Fundamentals of Risk Assessment</w:t>
      </w:r>
    </w:p>
    <w:p>
      <w:pPr>
        <w:spacing w:after="0" w:line="200" w:lineRule="exact"/>
        <w:rPr>
          <w:sz w:val="24"/>
          <w:szCs w:val="24"/>
          <w:color w:val="auto"/>
        </w:rPr>
      </w:pPr>
    </w:p>
    <w:p>
      <w:pPr>
        <w:spacing w:after="0" w:line="265" w:lineRule="exact"/>
        <w:rPr>
          <w:sz w:val="24"/>
          <w:szCs w:val="24"/>
          <w:color w:val="auto"/>
        </w:rPr>
      </w:pPr>
    </w:p>
    <w:p>
      <w:pPr>
        <w:ind w:left="360" w:right="420"/>
        <w:spacing w:after="0" w:line="274" w:lineRule="auto"/>
        <w:rPr>
          <w:sz w:val="20"/>
          <w:szCs w:val="20"/>
          <w:color w:val="auto"/>
        </w:rPr>
      </w:pPr>
      <w:r>
        <w:rPr>
          <w:rFonts w:ascii="Cambria" w:cs="Cambria" w:eastAsia="Cambria" w:hAnsi="Cambria"/>
          <w:sz w:val="22"/>
          <w:szCs w:val="22"/>
          <w:color w:val="auto"/>
        </w:rPr>
        <w:t>Risk assessment in outdoor education is a systematic process used to identify, evaluate, and manage potential hazards that could cause harm to participants and staff. This process typically involves several steps to mitigate risks while preserving the educational value of the programs. Effective September 10, 2023, the National Council for Outdoor Learning (NCOL) has recommended that all outdoor educational institutions implement comprehensive risk assessments for every program they conduct.</w:t>
      </w:r>
    </w:p>
    <w:p>
      <w:pPr>
        <w:spacing w:after="0" w:line="4"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Identifying Potential Hazards</w:t>
      </w:r>
    </w:p>
    <w:p>
      <w:pPr>
        <w:spacing w:after="0" w:line="200" w:lineRule="exact"/>
        <w:rPr>
          <w:sz w:val="24"/>
          <w:szCs w:val="24"/>
          <w:color w:val="auto"/>
        </w:rPr>
      </w:pPr>
    </w:p>
    <w:p>
      <w:pPr>
        <w:spacing w:after="0" w:line="265" w:lineRule="exact"/>
        <w:rPr>
          <w:sz w:val="24"/>
          <w:szCs w:val="24"/>
          <w:color w:val="auto"/>
        </w:rPr>
      </w:pPr>
    </w:p>
    <w:p>
      <w:pPr>
        <w:ind w:left="360" w:right="560"/>
        <w:spacing w:after="0" w:line="274" w:lineRule="auto"/>
        <w:rPr>
          <w:sz w:val="20"/>
          <w:szCs w:val="20"/>
          <w:color w:val="auto"/>
        </w:rPr>
      </w:pPr>
      <w:r>
        <w:rPr>
          <w:rFonts w:ascii="Cambria" w:cs="Cambria" w:eastAsia="Cambria" w:hAnsi="Cambria"/>
          <w:sz w:val="22"/>
          <w:szCs w:val="22"/>
          <w:color w:val="auto"/>
        </w:rPr>
        <w:t>To begin a risk assessment, program coordinators like Emily Thompson, an outdoor education expert with over a decade of experience, suggest starting with brainstorming sessions. Thompson recommends that, “on October 15, 2023, educators should list all foreseeable hazards that could arise during the outdoor program.” These hazards could range from environmental factors, such as wildlife or hazardous terrain, to human-related factors, including overexertion or improper use of equipment.</w:t>
      </w:r>
    </w:p>
    <w:p>
      <w:pPr>
        <w:spacing w:after="0" w:line="4"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Evaluating Risks</w:t>
      </w:r>
    </w:p>
    <w:p>
      <w:pPr>
        <w:spacing w:after="0" w:line="200" w:lineRule="exact"/>
        <w:rPr>
          <w:sz w:val="24"/>
          <w:szCs w:val="24"/>
          <w:color w:val="auto"/>
        </w:rPr>
      </w:pPr>
    </w:p>
    <w:p>
      <w:pPr>
        <w:spacing w:after="0" w:line="265" w:lineRule="exact"/>
        <w:rPr>
          <w:sz w:val="24"/>
          <w:szCs w:val="24"/>
          <w:color w:val="auto"/>
        </w:rPr>
      </w:pPr>
    </w:p>
    <w:p>
      <w:pPr>
        <w:jc w:val="both"/>
        <w:ind w:left="360" w:right="620"/>
        <w:spacing w:after="0" w:line="274" w:lineRule="auto"/>
        <w:rPr>
          <w:sz w:val="20"/>
          <w:szCs w:val="20"/>
          <w:color w:val="auto"/>
        </w:rPr>
      </w:pPr>
      <w:r>
        <w:rPr>
          <w:rFonts w:ascii="Cambria" w:cs="Cambria" w:eastAsia="Cambria" w:hAnsi="Cambria"/>
          <w:sz w:val="22"/>
          <w:szCs w:val="22"/>
          <w:color w:val="auto"/>
        </w:rPr>
        <w:t>Once potential hazards are identified, the next step, as outlined by safety officer Michael Kendrick on November 3, 2023, is to "evaluate the likelihood and severity of these risks." This involves estimating how probable it is that each hazard could lead to an incident and the extent of injury or damage it might cause. This step allows planners to prioritize risks and focus their management efforts on the most critical issues.</w:t>
      </w:r>
    </w:p>
    <w:p>
      <w:pPr>
        <w:spacing w:after="0" w:line="1" w:lineRule="exact"/>
        <w:rPr>
          <w:sz w:val="24"/>
          <w:szCs w:val="24"/>
          <w:color w:val="auto"/>
        </w:rPr>
      </w:pPr>
    </w:p>
    <w:p>
      <w:pPr>
        <w:ind w:left="360"/>
        <w:spacing w:after="0"/>
        <w:rPr>
          <w:sz w:val="20"/>
          <w:szCs w:val="20"/>
          <w:color w:val="auto"/>
        </w:rPr>
      </w:pPr>
      <w:r>
        <w:rPr>
          <w:rFonts w:ascii="Cambria" w:cs="Cambria" w:eastAsia="Cambria" w:hAnsi="Cambria"/>
          <w:sz w:val="32"/>
          <w:szCs w:val="32"/>
          <w:color w:val="073763"/>
        </w:rPr>
        <w:t>Risk Evaluation Techniques</w:t>
      </w:r>
    </w:p>
    <w:p>
      <w:pPr>
        <w:spacing w:after="0" w:line="200" w:lineRule="exact"/>
        <w:rPr>
          <w:sz w:val="24"/>
          <w:szCs w:val="24"/>
          <w:color w:val="auto"/>
        </w:rPr>
      </w:pPr>
    </w:p>
    <w:p>
      <w:pPr>
        <w:spacing w:after="0" w:line="268" w:lineRule="exact"/>
        <w:rPr>
          <w:sz w:val="24"/>
          <w:szCs w:val="24"/>
          <w:color w:val="auto"/>
        </w:rPr>
      </w:pPr>
    </w:p>
    <w:p>
      <w:pPr>
        <w:ind w:left="360" w:right="380"/>
        <w:spacing w:after="0" w:line="1181" w:lineRule="auto"/>
        <w:rPr>
          <w:sz w:val="20"/>
          <w:szCs w:val="20"/>
          <w:color w:val="auto"/>
        </w:rPr>
      </w:pPr>
      <w:r>
        <w:rPr>
          <w:rFonts w:ascii="Cambria" w:cs="Cambria" w:eastAsia="Cambria" w:hAnsi="Cambria"/>
          <w:sz w:val="22"/>
          <w:szCs w:val="22"/>
          <w:color w:val="auto"/>
        </w:rPr>
        <w:t>There are various methods for evaluating risks, including qualitative, semi-quantitative, and quantitative assessments. In a workshop conducted on September 25, 2023, seasoned</w:t>
      </w:r>
    </w:p>
    <w:p>
      <w:pPr>
        <w:sectPr>
          <w:pgSz w:w="12240" w:h="15999" w:orient="portrait"/>
          <w:cols w:equalWidth="0" w:num="1">
            <w:col w:w="9360"/>
          </w:cols>
          <w:pgMar w:left="1440" w:top="1246" w:right="1440" w:bottom="0" w:gutter="0" w:footer="0" w:header="0"/>
        </w:sectPr>
      </w:pPr>
    </w:p>
    <w:bookmarkStart w:id="1" w:name="page2"/>
    <w:bookmarkEnd w:id="1"/>
    <w:p>
      <w:pPr>
        <w:ind w:left="360" w:right="480"/>
        <w:spacing w:after="0" w:line="273" w:lineRule="auto"/>
        <w:rPr>
          <w:sz w:val="20"/>
          <w:szCs w:val="20"/>
          <w:color w:val="auto"/>
        </w:rPr>
      </w:pPr>
      <w:r>
        <w:rPr>
          <w:rFonts w:ascii="Cambria" w:cs="Cambria" w:eastAsia="Cambria" w:hAnsi="Cambria"/>
          <w:sz w:val="22"/>
          <w:szCs w:val="22"/>
          <w:color w:val="auto"/>
        </w:rPr>
        <w:t>outdoor instructor Laura Vasquez emphasized the benefits of using matrices that “combine the likelihood of an occurrence with its potential impact to determine a risk level for each identified hazard.” Moreover, historical data on past incidents can provide added insights into the most common risks associated with specific outdoor activities.</w:t>
      </w:r>
    </w:p>
    <w:p>
      <w:pPr>
        <w:spacing w:after="0" w:line="2"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Developing Risk Management Strategies</w:t>
      </w:r>
    </w:p>
    <w:p>
      <w:pPr>
        <w:spacing w:after="0" w:line="200" w:lineRule="exact"/>
        <w:rPr>
          <w:sz w:val="20"/>
          <w:szCs w:val="20"/>
          <w:color w:val="auto"/>
        </w:rPr>
      </w:pPr>
    </w:p>
    <w:p>
      <w:pPr>
        <w:spacing w:after="0" w:line="265" w:lineRule="exact"/>
        <w:rPr>
          <w:sz w:val="20"/>
          <w:szCs w:val="20"/>
          <w:color w:val="auto"/>
        </w:rPr>
      </w:pPr>
    </w:p>
    <w:p>
      <w:pPr>
        <w:ind w:left="360" w:right="320"/>
        <w:spacing w:after="0" w:line="274" w:lineRule="auto"/>
        <w:rPr>
          <w:sz w:val="20"/>
          <w:szCs w:val="20"/>
          <w:color w:val="auto"/>
        </w:rPr>
      </w:pPr>
      <w:r>
        <w:rPr>
          <w:rFonts w:ascii="Cambria" w:cs="Cambria" w:eastAsia="Cambria" w:hAnsi="Cambria"/>
          <w:sz w:val="22"/>
          <w:szCs w:val="22"/>
          <w:color w:val="auto"/>
        </w:rPr>
        <w:t>Following the risk evaluation, the next course of action is to devise risk management strategies. As articulated by John Markham, a risk management consultant, during his webinar on October 20, 2023, "A three-tier approach is most effective, involving minimizing, monitoring, and planning for all identified risks." This can mean altering the program to avoid unnecessary dangers or putting in place safety protocols and emergency plans.</w:t>
      </w:r>
    </w:p>
    <w:p>
      <w:pPr>
        <w:spacing w:after="0" w:line="1"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Recording and Implementing Findings</w:t>
      </w:r>
    </w:p>
    <w:p>
      <w:pPr>
        <w:spacing w:after="0" w:line="200" w:lineRule="exact"/>
        <w:rPr>
          <w:sz w:val="20"/>
          <w:szCs w:val="20"/>
          <w:color w:val="auto"/>
        </w:rPr>
      </w:pPr>
    </w:p>
    <w:p>
      <w:pPr>
        <w:spacing w:after="0" w:line="268" w:lineRule="exact"/>
        <w:rPr>
          <w:sz w:val="20"/>
          <w:szCs w:val="20"/>
          <w:color w:val="auto"/>
        </w:rPr>
      </w:pPr>
    </w:p>
    <w:p>
      <w:pPr>
        <w:jc w:val="both"/>
        <w:ind w:left="360" w:right="520"/>
        <w:spacing w:after="0" w:line="273" w:lineRule="auto"/>
        <w:rPr>
          <w:sz w:val="20"/>
          <w:szCs w:val="20"/>
          <w:color w:val="auto"/>
        </w:rPr>
      </w:pPr>
      <w:r>
        <w:rPr>
          <w:rFonts w:ascii="Cambria" w:cs="Cambria" w:eastAsia="Cambria" w:hAnsi="Cambria"/>
          <w:sz w:val="22"/>
          <w:szCs w:val="22"/>
          <w:color w:val="auto"/>
        </w:rPr>
        <w:t>Once risk management measures are identified, they must be documented in a formal risk assessment report. This report should serve as a guide for all staff involved in the program and be accessible for review and updates. It's essential to keep these assessments as living documents, updating them in response to any changes or new information.</w:t>
      </w:r>
    </w:p>
    <w:p>
      <w:pPr>
        <w:spacing w:after="0" w:line="2"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Training and Communication</w:t>
      </w:r>
    </w:p>
    <w:p>
      <w:pPr>
        <w:spacing w:after="0" w:line="200" w:lineRule="exact"/>
        <w:rPr>
          <w:sz w:val="20"/>
          <w:szCs w:val="20"/>
          <w:color w:val="auto"/>
        </w:rPr>
      </w:pPr>
    </w:p>
    <w:p>
      <w:pPr>
        <w:spacing w:after="0" w:line="265" w:lineRule="exact"/>
        <w:rPr>
          <w:sz w:val="20"/>
          <w:szCs w:val="20"/>
          <w:color w:val="auto"/>
        </w:rPr>
      </w:pPr>
    </w:p>
    <w:p>
      <w:pPr>
        <w:ind w:left="360" w:right="560"/>
        <w:spacing w:after="0" w:line="274" w:lineRule="auto"/>
        <w:rPr>
          <w:sz w:val="20"/>
          <w:szCs w:val="20"/>
          <w:color w:val="auto"/>
        </w:rPr>
      </w:pPr>
      <w:r>
        <w:rPr>
          <w:rFonts w:ascii="Cambria" w:cs="Cambria" w:eastAsia="Cambria" w:hAnsi="Cambria"/>
          <w:sz w:val="22"/>
          <w:szCs w:val="22"/>
          <w:color w:val="auto"/>
        </w:rPr>
        <w:t>An often-overlooked aspect of risk assessment is ensuring that all staff are well-trained in the identified risk management strategies. By December 1, 2023, the Institute for Outdoor Learning (IOL) had mandated that organizations “provide comprehensive staff training on risk management protocols and supervision requirements.” Communication with participants is just as crucial, and they should be made aware of the risks and how to mitigate them through proper behavior and adherence to the rules.</w:t>
      </w:r>
    </w:p>
    <w:p>
      <w:pPr>
        <w:spacing w:after="0" w:line="4"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Establishing a Culture of Safety</w:t>
      </w:r>
    </w:p>
    <w:p>
      <w:pPr>
        <w:spacing w:after="0" w:line="200" w:lineRule="exact"/>
        <w:rPr>
          <w:sz w:val="20"/>
          <w:szCs w:val="20"/>
          <w:color w:val="auto"/>
        </w:rPr>
      </w:pPr>
    </w:p>
    <w:p>
      <w:pPr>
        <w:spacing w:after="0" w:line="265" w:lineRule="exact"/>
        <w:rPr>
          <w:sz w:val="20"/>
          <w:szCs w:val="20"/>
          <w:color w:val="auto"/>
        </w:rPr>
      </w:pPr>
    </w:p>
    <w:p>
      <w:pPr>
        <w:ind w:left="360" w:right="420"/>
        <w:spacing w:after="0" w:line="274" w:lineRule="auto"/>
        <w:rPr>
          <w:sz w:val="20"/>
          <w:szCs w:val="20"/>
          <w:color w:val="auto"/>
        </w:rPr>
      </w:pPr>
      <w:r>
        <w:rPr>
          <w:rFonts w:ascii="Cambria" w:cs="Cambria" w:eastAsia="Cambria" w:hAnsi="Cambria"/>
          <w:sz w:val="22"/>
          <w:szCs w:val="22"/>
          <w:color w:val="auto"/>
        </w:rPr>
        <w:t>Risk assessment is not just a process; it’s also about establishing a culture of safety within the organization. This involves everyone from the top leadership to the newest volunteers understanding the importance of risk assessment and being committed to continuously improving safety measures. Safety specialist Dr. Alex Rivera highlighted during the Outdoor Education Safety Summit on January 11, 2024, that “creating a culture of safety starts with recognizing that risk assessment is an ongoing process, not a one-time checklist.”</w:t>
      </w:r>
    </w:p>
    <w:p>
      <w:pPr>
        <w:spacing w:after="0" w:line="4"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Continuous Monitoring and Review</w:t>
      </w:r>
    </w:p>
    <w:p>
      <w:pPr>
        <w:spacing w:after="0" w:line="200" w:lineRule="exact"/>
        <w:rPr>
          <w:sz w:val="20"/>
          <w:szCs w:val="20"/>
          <w:color w:val="auto"/>
        </w:rPr>
      </w:pPr>
    </w:p>
    <w:p>
      <w:pPr>
        <w:spacing w:after="0" w:line="265" w:lineRule="exact"/>
        <w:rPr>
          <w:sz w:val="20"/>
          <w:szCs w:val="20"/>
          <w:color w:val="auto"/>
        </w:rPr>
      </w:pPr>
    </w:p>
    <w:p>
      <w:pPr>
        <w:ind w:left="360" w:right="720"/>
        <w:spacing w:after="0" w:line="609" w:lineRule="auto"/>
        <w:rPr>
          <w:sz w:val="20"/>
          <w:szCs w:val="20"/>
          <w:color w:val="auto"/>
        </w:rPr>
      </w:pPr>
      <w:r>
        <w:rPr>
          <w:rFonts w:ascii="Cambria" w:cs="Cambria" w:eastAsia="Cambria" w:hAnsi="Cambria"/>
          <w:sz w:val="21"/>
          <w:szCs w:val="21"/>
          <w:color w:val="auto"/>
        </w:rPr>
        <w:t>Continuous monitoring is a critical component of risk management. Program activities should be observed regularly to ensure that risk management strategies are effectively implemented. Additionally, after the conclusion of an outdoor program, program leaders should review the effectiveness of their risk assessments, as noted by Samantha Doyle, a</w:t>
      </w:r>
    </w:p>
    <w:p>
      <w:pPr>
        <w:sectPr>
          <w:pgSz w:w="12240" w:h="15840" w:orient="portrait"/>
          <w:cols w:equalWidth="0" w:num="1">
            <w:col w:w="9360"/>
          </w:cols>
          <w:pgMar w:left="1440" w:top="961" w:right="1440" w:bottom="245" w:gutter="0" w:footer="0" w:header="0"/>
        </w:sectPr>
      </w:pPr>
    </w:p>
    <w:bookmarkStart w:id="2" w:name="page3"/>
    <w:bookmarkEnd w:id="2"/>
    <w:p>
      <w:pPr>
        <w:ind w:left="360" w:right="420"/>
        <w:spacing w:after="0" w:line="271" w:lineRule="auto"/>
        <w:rPr>
          <w:sz w:val="20"/>
          <w:szCs w:val="20"/>
          <w:color w:val="auto"/>
        </w:rPr>
      </w:pPr>
      <w:r>
        <w:rPr>
          <w:rFonts w:ascii="Cambria" w:cs="Cambria" w:eastAsia="Cambria" w:hAnsi="Cambria"/>
          <w:sz w:val="22"/>
          <w:szCs w:val="22"/>
          <w:color w:val="auto"/>
        </w:rPr>
        <w:t>field education coordinator, on February 14, 2024. This allows for learning from experience and refining processes for future activities.</w:t>
      </w:r>
    </w:p>
    <w:p>
      <w:pPr>
        <w:ind w:left="360"/>
        <w:spacing w:after="0"/>
        <w:rPr>
          <w:sz w:val="20"/>
          <w:szCs w:val="20"/>
          <w:color w:val="auto"/>
        </w:rPr>
      </w:pPr>
      <w:r>
        <w:rPr>
          <w:rFonts w:ascii="Cambria" w:cs="Cambria" w:eastAsia="Cambria" w:hAnsi="Cambria"/>
          <w:sz w:val="32"/>
          <w:szCs w:val="32"/>
          <w:color w:val="073763"/>
        </w:rPr>
        <w:t>Involving Key Stakeholders</w:t>
      </w:r>
    </w:p>
    <w:p>
      <w:pPr>
        <w:spacing w:after="0" w:line="200" w:lineRule="exact"/>
        <w:rPr>
          <w:sz w:val="20"/>
          <w:szCs w:val="20"/>
          <w:color w:val="auto"/>
        </w:rPr>
      </w:pPr>
    </w:p>
    <w:p>
      <w:pPr>
        <w:spacing w:after="0" w:line="265" w:lineRule="exact"/>
        <w:rPr>
          <w:sz w:val="20"/>
          <w:szCs w:val="20"/>
          <w:color w:val="auto"/>
        </w:rPr>
      </w:pPr>
    </w:p>
    <w:p>
      <w:pPr>
        <w:ind w:left="360" w:right="400"/>
        <w:spacing w:after="0" w:line="274" w:lineRule="auto"/>
        <w:rPr>
          <w:sz w:val="20"/>
          <w:szCs w:val="20"/>
          <w:color w:val="auto"/>
        </w:rPr>
      </w:pPr>
      <w:r>
        <w:rPr>
          <w:rFonts w:ascii="Cambria" w:cs="Cambria" w:eastAsia="Cambria" w:hAnsi="Cambria"/>
          <w:sz w:val="22"/>
          <w:szCs w:val="22"/>
          <w:color w:val="auto"/>
        </w:rPr>
        <w:t>Effective risk management includes the participation of all stakeholders, including students, parents, educators, and local authorities. As reported on March 3, 2024, during a town hall meeting, Principal Kevin Lawrence of Riverside High School advised that “engaging stakeholders not only in risk assessment but also in its periodic review ensures diverse input and fosters shared responsibility for safety.”</w:t>
      </w:r>
    </w:p>
    <w:p>
      <w:pPr>
        <w:spacing w:after="0" w:line="1"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Utilizing Technology in Risk Assessment</w:t>
      </w:r>
    </w:p>
    <w:p>
      <w:pPr>
        <w:spacing w:after="0" w:line="200" w:lineRule="exact"/>
        <w:rPr>
          <w:sz w:val="20"/>
          <w:szCs w:val="20"/>
          <w:color w:val="auto"/>
        </w:rPr>
      </w:pPr>
    </w:p>
    <w:p>
      <w:pPr>
        <w:spacing w:after="0" w:line="268" w:lineRule="exact"/>
        <w:rPr>
          <w:sz w:val="20"/>
          <w:szCs w:val="20"/>
          <w:color w:val="auto"/>
        </w:rPr>
      </w:pPr>
    </w:p>
    <w:p>
      <w:pPr>
        <w:ind w:left="360" w:right="380"/>
        <w:spacing w:after="0" w:line="273" w:lineRule="auto"/>
        <w:rPr>
          <w:sz w:val="20"/>
          <w:szCs w:val="20"/>
          <w:color w:val="auto"/>
        </w:rPr>
      </w:pPr>
      <w:r>
        <w:rPr>
          <w:rFonts w:ascii="Cambria" w:cs="Cambria" w:eastAsia="Cambria" w:hAnsi="Cambria"/>
          <w:sz w:val="22"/>
          <w:szCs w:val="22"/>
          <w:color w:val="auto"/>
        </w:rPr>
        <w:t>Advances in technology have provided educators with tools to enhance their risk assessment strategies. Geographic Information Systems (GIS) for mapping hazards, weather tracking applications, and digital checklists have all become integral to modern risk assessment procedures. By integrating technology, outdoor professionals can stay current with real-time updates and swiftly react to changing environmental conditions.</w:t>
      </w:r>
    </w:p>
    <w:p>
      <w:pPr>
        <w:spacing w:after="0" w:line="4"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Adopting International Standards</w:t>
      </w:r>
    </w:p>
    <w:p>
      <w:pPr>
        <w:spacing w:after="0" w:line="200" w:lineRule="exact"/>
        <w:rPr>
          <w:sz w:val="20"/>
          <w:szCs w:val="20"/>
          <w:color w:val="auto"/>
        </w:rPr>
      </w:pPr>
    </w:p>
    <w:p>
      <w:pPr>
        <w:spacing w:after="0" w:line="268" w:lineRule="exact"/>
        <w:rPr>
          <w:sz w:val="20"/>
          <w:szCs w:val="20"/>
          <w:color w:val="auto"/>
        </w:rPr>
      </w:pPr>
    </w:p>
    <w:p>
      <w:pPr>
        <w:ind w:left="360" w:right="580"/>
        <w:spacing w:after="0" w:line="274" w:lineRule="auto"/>
        <w:rPr>
          <w:sz w:val="20"/>
          <w:szCs w:val="20"/>
          <w:color w:val="auto"/>
        </w:rPr>
      </w:pPr>
      <w:r>
        <w:rPr>
          <w:rFonts w:ascii="Cambria" w:cs="Cambria" w:eastAsia="Cambria" w:hAnsi="Cambria"/>
          <w:sz w:val="22"/>
          <w:szCs w:val="22"/>
          <w:color w:val="auto"/>
        </w:rPr>
        <w:t>Schools and organizations are increasingly looking towards international standards to guide their risk assessment protocols. For example, ISO 31000 provides guidelines on risk management that are widely adopted across various sectors, including education. Embracing such standards helps ensure a high level of diligence in protecting participants from harm.</w:t>
      </w:r>
    </w:p>
    <w:p>
      <w:pPr>
        <w:spacing w:after="0" w:line="1"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The Ongoing Quest for Safe Outdoor Learning</w:t>
      </w:r>
    </w:p>
    <w:p>
      <w:pPr>
        <w:spacing w:after="0" w:line="200" w:lineRule="exact"/>
        <w:rPr>
          <w:sz w:val="20"/>
          <w:szCs w:val="20"/>
          <w:color w:val="auto"/>
        </w:rPr>
      </w:pPr>
    </w:p>
    <w:p>
      <w:pPr>
        <w:spacing w:after="0" w:line="265" w:lineRule="exact"/>
        <w:rPr>
          <w:sz w:val="20"/>
          <w:szCs w:val="20"/>
          <w:color w:val="auto"/>
        </w:rPr>
      </w:pPr>
    </w:p>
    <w:p>
      <w:pPr>
        <w:ind w:left="360" w:right="520"/>
        <w:spacing w:after="0" w:line="457" w:lineRule="auto"/>
        <w:rPr>
          <w:sz w:val="20"/>
          <w:szCs w:val="20"/>
          <w:color w:val="auto"/>
        </w:rPr>
      </w:pPr>
      <w:r>
        <w:rPr>
          <w:rFonts w:ascii="Cambria" w:cs="Cambria" w:eastAsia="Cambria" w:hAnsi="Cambria"/>
          <w:sz w:val="22"/>
          <w:szCs w:val="22"/>
          <w:color w:val="auto"/>
        </w:rPr>
        <w:t>With growing recognition of the benefits of outdoor and environmental education, the importance of risk assessment in program planning continues to garner attention. It's not simply a matter of compliance but a foundational aspect of creating enriching, challenging, and above all, safe experiences for learners of all ages. As the journey in outdoor education advances, the commitment to thorough and diligent risk assessment remains a guiding principle for educators and adventure facilitators alike.</w:t>
      </w:r>
    </w:p>
    <w:sectPr>
      <w:pgSz w:w="12240" w:h="15840" w:orient="portrait"/>
      <w:cols w:equalWidth="0" w:num="1">
        <w:col w:w="9360"/>
      </w:cols>
      <w:pgMar w:left="1440" w:top="96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2024-05-31T11:16:42Z</dcterms:created>
  <dcterms:modified xsi:type="dcterms:W3CDTF">2024-05-31T11:16:42Z</dcterms:modified>
</cp:coreProperties>
</file>