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120"/>
        <w:rPr/>
      </w:pPr>
      <w:r>
        <w:rPr/>
        <w:t xml:space="preserve">🔹 </w:t>
      </w:r>
      <w:r>
        <w:rPr/>
        <w:t>1. Tokens in C</w:t>
      </w:r>
    </w:p>
    <w:p>
      <w:pPr>
        <w:pStyle w:val="BlockQuotation"/>
        <w:rPr/>
      </w:pPr>
      <w:r>
        <w:rPr>
          <w:rStyle w:val="Strong"/>
        </w:rPr>
        <w:t>Definition</w:t>
      </w:r>
      <w:r>
        <w:rPr/>
        <w:t xml:space="preserve">: The </w:t>
      </w:r>
      <w:r>
        <w:rPr>
          <w:rStyle w:val="Strong"/>
        </w:rPr>
        <w:t>smallest unit</w:t>
      </w:r>
      <w:r>
        <w:rPr/>
        <w:t xml:space="preserve"> in a C program that has meaning to the compiler.</w:t>
      </w:r>
    </w:p>
    <w:p>
      <w:pPr>
        <w:pStyle w:val="Heading3"/>
        <w:rPr/>
      </w:pPr>
      <w:r>
        <w:rPr/>
        <w:t>Types of Tokens: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Keywords</w:t>
      </w:r>
      <w:r>
        <w:rPr/>
        <w:t xml:space="preserve"> – Reserved words in C (e.g., </w:t>
      </w:r>
      <w:r>
        <w:rPr>
          <w:rStyle w:val="SourceText"/>
        </w:rPr>
        <w:t>int</w:t>
      </w:r>
      <w:r>
        <w:rPr/>
        <w:t xml:space="preserve">, </w:t>
      </w:r>
      <w:r>
        <w:rPr>
          <w:rStyle w:val="SourceText"/>
        </w:rPr>
        <w:t>return</w:t>
      </w:r>
      <w:r>
        <w:rPr/>
        <w:t>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Identifiers</w:t>
      </w:r>
      <w:r>
        <w:rPr/>
        <w:t xml:space="preserve"> – User-defined names (e.g., </w:t>
      </w:r>
      <w:r>
        <w:rPr>
          <w:rStyle w:val="SourceText"/>
        </w:rPr>
        <w:t>sum</w:t>
      </w:r>
      <w:r>
        <w:rPr/>
        <w:t xml:space="preserve">, </w:t>
      </w:r>
      <w:r>
        <w:rPr>
          <w:rStyle w:val="SourceText"/>
        </w:rPr>
        <w:t>main</w:t>
      </w:r>
      <w:r>
        <w:rPr/>
        <w:t>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Constants</w:t>
      </w:r>
      <w:r>
        <w:rPr/>
        <w:t xml:space="preserve"> – Fixed values (e.g., </w:t>
      </w:r>
      <w:r>
        <w:rPr>
          <w:rStyle w:val="SourceText"/>
        </w:rPr>
        <w:t>10</w:t>
      </w:r>
      <w:r>
        <w:rPr/>
        <w:t xml:space="preserve">, </w:t>
      </w:r>
      <w:r>
        <w:rPr>
          <w:rStyle w:val="SourceText"/>
        </w:rPr>
        <w:t>'A'</w:t>
      </w:r>
      <w:r>
        <w:rPr/>
        <w:t xml:space="preserve">, </w:t>
      </w:r>
      <w:r>
        <w:rPr>
          <w:rStyle w:val="SourceText"/>
        </w:rPr>
        <w:t>3.14</w:t>
      </w:r>
      <w:r>
        <w:rPr/>
        <w:t>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Strings</w:t>
      </w:r>
      <w:r>
        <w:rPr/>
        <w:t xml:space="preserve"> – Enclosed in double quotes (e.g., </w:t>
      </w:r>
      <w:r>
        <w:rPr>
          <w:rStyle w:val="SourceText"/>
        </w:rPr>
        <w:t>"Hello"</w:t>
      </w:r>
      <w:r>
        <w:rPr/>
        <w:t>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Operators</w:t>
      </w:r>
      <w:r>
        <w:rPr/>
        <w:t xml:space="preserve"> – </w:t>
      </w:r>
      <w:r>
        <w:rPr>
          <w:rStyle w:val="SourceText"/>
        </w:rPr>
        <w:t>+</w:t>
      </w:r>
      <w:r>
        <w:rPr/>
        <w:t xml:space="preserve">, </w:t>
      </w:r>
      <w:r>
        <w:rPr>
          <w:rStyle w:val="SourceText"/>
        </w:rPr>
        <w:t>-</w:t>
      </w:r>
      <w:r>
        <w:rPr/>
        <w:t xml:space="preserve">, </w:t>
      </w:r>
      <w:r>
        <w:rPr>
          <w:rStyle w:val="SourceText"/>
        </w:rPr>
        <w:t>*</w:t>
      </w:r>
      <w:r>
        <w:rPr/>
        <w:t xml:space="preserve">, </w:t>
      </w:r>
      <w:r>
        <w:rPr>
          <w:rStyle w:val="SourceText"/>
        </w:rPr>
        <w:t>/</w:t>
      </w:r>
      <w:r>
        <w:rPr/>
        <w:t xml:space="preserve">, </w:t>
      </w:r>
      <w:r>
        <w:rPr>
          <w:rStyle w:val="SourceText"/>
        </w:rPr>
        <w:t>=</w:t>
      </w:r>
      <w:r>
        <w:rPr/>
        <w:t>, etc.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Special Symbols</w:t>
      </w:r>
      <w:r>
        <w:rPr/>
        <w:t xml:space="preserve"> – </w:t>
      </w:r>
      <w:r>
        <w:rPr>
          <w:rStyle w:val="SourceText"/>
        </w:rPr>
        <w:t>{}</w:t>
      </w:r>
      <w:r>
        <w:rPr/>
        <w:t xml:space="preserve">, </w:t>
      </w:r>
      <w:r>
        <w:rPr>
          <w:rStyle w:val="SourceText"/>
        </w:rPr>
        <w:t>()</w:t>
      </w:r>
      <w:r>
        <w:rPr/>
        <w:t xml:space="preserve">, </w:t>
      </w:r>
      <w:r>
        <w:rPr>
          <w:rStyle w:val="SourceText"/>
        </w:rPr>
        <w:t>[]</w:t>
      </w:r>
      <w:r>
        <w:rPr/>
        <w:t xml:space="preserve">, </w:t>
      </w:r>
      <w:r>
        <w:rPr>
          <w:rStyle w:val="SourceText"/>
        </w:rPr>
        <w:t>;</w:t>
      </w:r>
      <w:r>
        <w:rPr/>
        <w:t xml:space="preserve">, </w:t>
      </w:r>
      <w:r>
        <w:rPr>
          <w:rStyle w:val="SourceText"/>
        </w:rPr>
        <w:t>#</w:t>
      </w:r>
      <w:r>
        <w:rPr/>
        <w:t>, etc.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🔹 </w:t>
      </w:r>
      <w:r>
        <w:rPr/>
        <w:t>1.1 Keywords</w:t>
      </w:r>
    </w:p>
    <w:p>
      <w:pPr>
        <w:pStyle w:val="BlockQuotation"/>
        <w:rPr/>
      </w:pPr>
      <w:r>
        <w:rPr>
          <w:rStyle w:val="Strong"/>
        </w:rPr>
        <w:t>Definition</w:t>
      </w:r>
      <w:r>
        <w:rPr/>
        <w:t>: Reserved words used for specific tasks. Cannot be used as identifiers.</w:t>
      </w:r>
    </w:p>
    <w:p>
      <w:pPr>
        <w:pStyle w:val="Heading3"/>
        <w:rPr/>
      </w:pPr>
      <w:r>
        <w:rPr/>
        <w:t>Examples: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91"/>
        <w:gridCol w:w="3709"/>
        <w:gridCol w:w="3338"/>
      </w:tblGrid>
      <w:tr>
        <w:trPr>
          <w:tblHeader w:val="true"/>
        </w:trPr>
        <w:tc>
          <w:tcPr>
            <w:tcW w:w="259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Data Types</w:t>
            </w:r>
          </w:p>
        </w:tc>
        <w:tc>
          <w:tcPr>
            <w:tcW w:w="370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Control Flow</w:t>
            </w:r>
          </w:p>
        </w:tc>
        <w:tc>
          <w:tcPr>
            <w:tcW w:w="333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Others</w:t>
            </w:r>
          </w:p>
        </w:tc>
      </w:tr>
      <w:tr>
        <w:trPr/>
        <w:tc>
          <w:tcPr>
            <w:tcW w:w="259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</w:t>
            </w:r>
            <w:r>
              <w:rPr/>
              <w:t xml:space="preserve">, </w:t>
            </w:r>
            <w:r>
              <w:rPr>
                <w:rStyle w:val="SourceText"/>
              </w:rPr>
              <w:t>float</w:t>
            </w:r>
            <w:r>
              <w:rPr/>
              <w:t xml:space="preserve">, </w:t>
            </w:r>
            <w:r>
              <w:rPr>
                <w:rStyle w:val="SourceText"/>
              </w:rPr>
              <w:t>char</w:t>
            </w:r>
            <w:r>
              <w:rPr/>
              <w:t xml:space="preserve">, </w:t>
            </w:r>
            <w:r>
              <w:rPr>
                <w:rStyle w:val="SourceText"/>
              </w:rPr>
              <w:t>double</w:t>
            </w:r>
            <w:r>
              <w:rPr/>
              <w:t xml:space="preserve">, </w:t>
            </w:r>
            <w:r>
              <w:rPr>
                <w:rStyle w:val="SourceText"/>
              </w:rPr>
              <w:t>void</w:t>
            </w:r>
          </w:p>
        </w:tc>
        <w:tc>
          <w:tcPr>
            <w:tcW w:w="370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if</w:t>
            </w:r>
            <w:r>
              <w:rPr/>
              <w:t xml:space="preserve">, </w:t>
            </w:r>
            <w:r>
              <w:rPr>
                <w:rStyle w:val="SourceText"/>
              </w:rPr>
              <w:t>else</w:t>
            </w:r>
            <w:r>
              <w:rPr/>
              <w:t xml:space="preserve">, </w:t>
            </w:r>
            <w:r>
              <w:rPr>
                <w:rStyle w:val="SourceText"/>
              </w:rPr>
              <w:t>for</w:t>
            </w:r>
            <w:r>
              <w:rPr/>
              <w:t xml:space="preserve">, </w:t>
            </w:r>
            <w:r>
              <w:rPr>
                <w:rStyle w:val="SourceText"/>
              </w:rPr>
              <w:t>while</w:t>
            </w:r>
            <w:r>
              <w:rPr/>
              <w:t xml:space="preserve">, </w:t>
            </w:r>
            <w:r>
              <w:rPr>
                <w:rStyle w:val="SourceText"/>
              </w:rPr>
              <w:t>switch</w:t>
            </w:r>
            <w:r>
              <w:rPr/>
              <w:t xml:space="preserve">, </w:t>
            </w:r>
            <w:r>
              <w:rPr>
                <w:rStyle w:val="SourceText"/>
              </w:rPr>
              <w:t>break</w:t>
            </w:r>
            <w:r>
              <w:rPr/>
              <w:t xml:space="preserve">, </w:t>
            </w:r>
            <w:r>
              <w:rPr>
                <w:rStyle w:val="SourceText"/>
              </w:rPr>
              <w:t>continue</w:t>
            </w:r>
          </w:p>
        </w:tc>
        <w:tc>
          <w:tcPr>
            <w:tcW w:w="333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return</w:t>
            </w:r>
            <w:r>
              <w:rPr/>
              <w:t xml:space="preserve">, </w:t>
            </w:r>
            <w:r>
              <w:rPr>
                <w:rStyle w:val="SourceText"/>
              </w:rPr>
              <w:t>sizeof</w:t>
            </w:r>
            <w:r>
              <w:rPr/>
              <w:t xml:space="preserve">, </w:t>
            </w:r>
            <w:r>
              <w:rPr>
                <w:rStyle w:val="SourceText"/>
              </w:rPr>
              <w:t>struct</w:t>
            </w:r>
            <w:r>
              <w:rPr/>
              <w:t xml:space="preserve">, </w:t>
            </w:r>
            <w:r>
              <w:rPr>
                <w:rStyle w:val="SourceText"/>
              </w:rPr>
              <w:t>typedef</w:t>
            </w:r>
            <w:r>
              <w:rPr/>
              <w:t xml:space="preserve">, </w:t>
            </w:r>
            <w:r>
              <w:rPr>
                <w:rStyle w:val="SourceText"/>
              </w:rPr>
              <w:t>const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🔹 </w:t>
      </w:r>
      <w:r>
        <w:rPr/>
        <w:t>1.2 Identifiers</w:t>
      </w:r>
    </w:p>
    <w:p>
      <w:pPr>
        <w:pStyle w:val="BlockQuotation"/>
        <w:rPr/>
      </w:pPr>
      <w:r>
        <w:rPr>
          <w:rStyle w:val="Strong"/>
        </w:rPr>
        <w:t>Definition</w:t>
      </w:r>
      <w:r>
        <w:rPr/>
        <w:t>: The name used to identify variables, functions, arrays, structures, etc.</w:t>
      </w:r>
    </w:p>
    <w:p>
      <w:pPr>
        <w:pStyle w:val="Heading3"/>
        <w:rPr/>
      </w:pPr>
      <w:r>
        <w:rPr/>
        <w:t>Rules for Identifiers: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Must begin with a </w:t>
      </w:r>
      <w:r>
        <w:rPr>
          <w:rStyle w:val="Strong"/>
        </w:rPr>
        <w:t>letter or underscore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Cannot be a </w:t>
      </w:r>
      <w:r>
        <w:rPr>
          <w:rStyle w:val="Strong"/>
        </w:rPr>
        <w:t>keyword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Case-sensitive (</w:t>
      </w:r>
      <w:r>
        <w:rPr>
          <w:rStyle w:val="SourceText"/>
        </w:rPr>
        <w:t>Total</w:t>
      </w:r>
      <w:r>
        <w:rPr/>
        <w:t xml:space="preserve"> ≠ </w:t>
      </w:r>
      <w:r>
        <w:rPr>
          <w:rStyle w:val="SourceText"/>
        </w:rPr>
        <w:t>total</w:t>
      </w:r>
      <w:r>
        <w:rPr/>
        <w:t>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Can include digits and underscores (</w:t>
      </w:r>
      <w:r>
        <w:rPr>
          <w:rStyle w:val="SourceText"/>
        </w:rPr>
        <w:t>_</w:t>
      </w:r>
      <w:r>
        <w:rPr/>
        <w:t xml:space="preserve">, </w:t>
      </w:r>
      <w:r>
        <w:rPr>
          <w:rStyle w:val="SourceText"/>
        </w:rPr>
        <w:t>0-9</w:t>
      </w:r>
      <w:r>
        <w:rPr/>
        <w:t xml:space="preserve">, </w:t>
      </w:r>
      <w:r>
        <w:rPr>
          <w:rStyle w:val="SourceText"/>
        </w:rPr>
        <w:t>A-Z</w:t>
      </w:r>
      <w:r>
        <w:rPr/>
        <w:t xml:space="preserve">, </w:t>
      </w:r>
      <w:r>
        <w:rPr>
          <w:rStyle w:val="SourceText"/>
        </w:rPr>
        <w:t>a-z</w:t>
      </w:r>
      <w:r>
        <w:rPr/>
        <w:t>)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🔹 </w:t>
      </w:r>
      <w:r>
        <w:rPr/>
        <w:t>2. Data Types and Modifiers</w:t>
      </w:r>
    </w:p>
    <w:p>
      <w:pPr>
        <w:pStyle w:val="Heading3"/>
        <w:rPr/>
      </w:pPr>
      <w:r>
        <w:rPr/>
        <w:t xml:space="preserve">🔸 </w:t>
      </w:r>
      <w:r>
        <w:rPr/>
        <w:t>Primary Data Types:</w:t>
      </w:r>
    </w:p>
    <w:tbl>
      <w:tblPr>
        <w:tblW w:w="437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85"/>
        <w:gridCol w:w="1495"/>
        <w:gridCol w:w="1890"/>
      </w:tblGrid>
      <w:tr>
        <w:trPr>
          <w:tblHeader w:val="true"/>
        </w:trPr>
        <w:tc>
          <w:tcPr>
            <w:tcW w:w="98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Type</w:t>
            </w:r>
          </w:p>
        </w:tc>
        <w:tc>
          <w:tcPr>
            <w:tcW w:w="149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Size (Typical)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Format Specifier</w:t>
            </w:r>
          </w:p>
        </w:tc>
      </w:tr>
      <w:tr>
        <w:trPr/>
        <w:tc>
          <w:tcPr>
            <w:tcW w:w="98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</w:t>
            </w:r>
          </w:p>
        </w:tc>
        <w:tc>
          <w:tcPr>
            <w:tcW w:w="149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4 bytes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%d</w:t>
            </w:r>
          </w:p>
        </w:tc>
      </w:tr>
      <w:tr>
        <w:trPr/>
        <w:tc>
          <w:tcPr>
            <w:tcW w:w="98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float</w:t>
            </w:r>
          </w:p>
        </w:tc>
        <w:tc>
          <w:tcPr>
            <w:tcW w:w="149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4 bytes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%f</w:t>
            </w:r>
          </w:p>
        </w:tc>
      </w:tr>
      <w:tr>
        <w:trPr/>
        <w:tc>
          <w:tcPr>
            <w:tcW w:w="98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double</w:t>
            </w:r>
          </w:p>
        </w:tc>
        <w:tc>
          <w:tcPr>
            <w:tcW w:w="149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8 bytes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%lf</w:t>
            </w:r>
          </w:p>
        </w:tc>
      </w:tr>
      <w:tr>
        <w:trPr/>
        <w:tc>
          <w:tcPr>
            <w:tcW w:w="98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char</w:t>
            </w:r>
          </w:p>
        </w:tc>
        <w:tc>
          <w:tcPr>
            <w:tcW w:w="149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 byte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%c</w:t>
            </w:r>
          </w:p>
        </w:tc>
      </w:tr>
    </w:tbl>
    <w:p>
      <w:pPr>
        <w:pStyle w:val="Heading3"/>
        <w:rPr/>
      </w:pPr>
      <w:r>
        <w:rPr/>
        <w:t xml:space="preserve">🔸 </w:t>
      </w:r>
      <w:r>
        <w:rPr/>
        <w:t>Type Modifiers:</w:t>
      </w:r>
    </w:p>
    <w:p>
      <w:pPr>
        <w:pStyle w:val="BodyText"/>
        <w:rPr/>
      </w:pPr>
      <w:r>
        <w:rPr/>
        <w:t xml:space="preserve">Used to </w:t>
      </w:r>
      <w:r>
        <w:rPr>
          <w:rStyle w:val="Strong"/>
        </w:rPr>
        <w:t>change size or range</w:t>
      </w:r>
      <w:r>
        <w:rPr/>
        <w:t xml:space="preserve"> of a data type.</w:t>
      </w:r>
    </w:p>
    <w:tbl>
      <w:tblPr>
        <w:tblW w:w="557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73"/>
        <w:gridCol w:w="1522"/>
        <w:gridCol w:w="2778"/>
      </w:tblGrid>
      <w:tr>
        <w:trPr>
          <w:tblHeader w:val="true"/>
        </w:trPr>
        <w:tc>
          <w:tcPr>
            <w:tcW w:w="127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Modifier</w:t>
            </w:r>
          </w:p>
        </w:tc>
        <w:tc>
          <w:tcPr>
            <w:tcW w:w="152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Used With</w:t>
            </w:r>
          </w:p>
        </w:tc>
        <w:tc>
          <w:tcPr>
            <w:tcW w:w="277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127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short</w:t>
            </w:r>
          </w:p>
        </w:tc>
        <w:tc>
          <w:tcPr>
            <w:tcW w:w="152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</w:t>
            </w:r>
          </w:p>
        </w:tc>
        <w:tc>
          <w:tcPr>
            <w:tcW w:w="277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Smaller size</w:t>
            </w:r>
          </w:p>
        </w:tc>
      </w:tr>
      <w:tr>
        <w:trPr/>
        <w:tc>
          <w:tcPr>
            <w:tcW w:w="127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long</w:t>
            </w:r>
          </w:p>
        </w:tc>
        <w:tc>
          <w:tcPr>
            <w:tcW w:w="152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</w:t>
            </w:r>
            <w:r>
              <w:rPr/>
              <w:t xml:space="preserve">, </w:t>
            </w:r>
            <w:r>
              <w:rPr>
                <w:rStyle w:val="SourceText"/>
              </w:rPr>
              <w:t>double</w:t>
            </w:r>
          </w:p>
        </w:tc>
        <w:tc>
          <w:tcPr>
            <w:tcW w:w="277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Larger size</w:t>
            </w:r>
          </w:p>
        </w:tc>
      </w:tr>
      <w:tr>
        <w:trPr/>
        <w:tc>
          <w:tcPr>
            <w:tcW w:w="127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signed</w:t>
            </w:r>
          </w:p>
        </w:tc>
        <w:tc>
          <w:tcPr>
            <w:tcW w:w="152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</w:t>
            </w:r>
            <w:r>
              <w:rPr/>
              <w:t xml:space="preserve">, </w:t>
            </w:r>
            <w:r>
              <w:rPr>
                <w:rStyle w:val="SourceText"/>
              </w:rPr>
              <w:t>char</w:t>
            </w:r>
          </w:p>
        </w:tc>
        <w:tc>
          <w:tcPr>
            <w:tcW w:w="277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Can be negative or positive</w:t>
            </w:r>
          </w:p>
        </w:tc>
      </w:tr>
      <w:tr>
        <w:trPr/>
        <w:tc>
          <w:tcPr>
            <w:tcW w:w="127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unsigned</w:t>
            </w:r>
          </w:p>
        </w:tc>
        <w:tc>
          <w:tcPr>
            <w:tcW w:w="152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</w:t>
            </w:r>
            <w:r>
              <w:rPr/>
              <w:t xml:space="preserve">, </w:t>
            </w:r>
            <w:r>
              <w:rPr>
                <w:rStyle w:val="SourceText"/>
              </w:rPr>
              <w:t>char</w:t>
            </w:r>
          </w:p>
        </w:tc>
        <w:tc>
          <w:tcPr>
            <w:tcW w:w="277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Only positive</w:t>
            </w:r>
          </w:p>
        </w:tc>
      </w:tr>
    </w:tbl>
    <w:p>
      <w:pPr>
        <w:pStyle w:val="PreformattedText"/>
        <w:rPr/>
      </w:pPr>
      <w:r>
        <w:rPr>
          <w:rStyle w:val="SourceText"/>
        </w:rPr>
        <w:t>unsigned int age;</w:t>
      </w:r>
    </w:p>
    <w:p>
      <w:pPr>
        <w:pStyle w:val="PreformattedText"/>
        <w:rPr/>
      </w:pPr>
      <w:r>
        <w:rPr>
          <w:rStyle w:val="SourceText"/>
        </w:rPr>
        <w:t>long double pi;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short int count;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🔹 </w:t>
      </w:r>
      <w:r>
        <w:rPr/>
        <w:t>3. Input/Output (scanf and printf)</w:t>
      </w:r>
    </w:p>
    <w:p>
      <w:pPr>
        <w:pStyle w:val="Heading3"/>
        <w:rPr/>
      </w:pPr>
      <w:r>
        <w:rPr/>
        <w:t xml:space="preserve">✅ </w:t>
      </w:r>
      <w:r>
        <w:rPr>
          <w:rStyle w:val="SourceText"/>
        </w:rPr>
        <w:t>printf()</w:t>
      </w:r>
      <w:r>
        <w:rPr/>
        <w:t xml:space="preserve"> – Output</w:t>
      </w:r>
    </w:p>
    <w:p>
      <w:pPr>
        <w:pStyle w:val="PreformattedText"/>
        <w:spacing w:before="0" w:after="283"/>
        <w:rPr/>
      </w:pPr>
      <w:r>
        <w:rPr>
          <w:rStyle w:val="SourceText"/>
        </w:rPr>
        <w:t>printf("Age = %d\n", age);</w:t>
      </w:r>
    </w:p>
    <w:p>
      <w:pPr>
        <w:pStyle w:val="Heading3"/>
        <w:rPr/>
      </w:pPr>
      <w:r>
        <w:rPr/>
        <w:t xml:space="preserve">✅ </w:t>
      </w:r>
      <w:r>
        <w:rPr>
          <w:rStyle w:val="SourceText"/>
        </w:rPr>
        <w:t>scanf()</w:t>
      </w:r>
      <w:r>
        <w:rPr/>
        <w:t xml:space="preserve"> – Input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scanf("%d", &amp;age);</w:t>
      </w:r>
    </w:p>
    <w:p>
      <w:pPr>
        <w:pStyle w:val="Heading3"/>
        <w:rPr/>
      </w:pPr>
      <w:r>
        <w:rPr/>
        <w:t xml:space="preserve">🔸 </w:t>
      </w:r>
      <w:r>
        <w:rPr/>
        <w:t>Common Format Specifiers:</w:t>
      </w:r>
    </w:p>
    <w:tbl>
      <w:tblPr>
        <w:tblW w:w="309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71"/>
        <w:gridCol w:w="924"/>
      </w:tblGrid>
      <w:tr>
        <w:trPr>
          <w:tblHeader w:val="true"/>
        </w:trPr>
        <w:tc>
          <w:tcPr>
            <w:tcW w:w="217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Data Type</w:t>
            </w:r>
          </w:p>
        </w:tc>
        <w:tc>
          <w:tcPr>
            <w:tcW w:w="92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Format</w:t>
            </w:r>
          </w:p>
        </w:tc>
      </w:tr>
      <w:tr>
        <w:trPr/>
        <w:tc>
          <w:tcPr>
            <w:tcW w:w="217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</w:t>
            </w:r>
          </w:p>
        </w:tc>
        <w:tc>
          <w:tcPr>
            <w:tcW w:w="92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%d</w:t>
            </w:r>
          </w:p>
        </w:tc>
      </w:tr>
      <w:tr>
        <w:trPr/>
        <w:tc>
          <w:tcPr>
            <w:tcW w:w="217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char</w:t>
            </w:r>
          </w:p>
        </w:tc>
        <w:tc>
          <w:tcPr>
            <w:tcW w:w="92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%c</w:t>
            </w:r>
          </w:p>
        </w:tc>
      </w:tr>
      <w:tr>
        <w:trPr/>
        <w:tc>
          <w:tcPr>
            <w:tcW w:w="217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float</w:t>
            </w:r>
          </w:p>
        </w:tc>
        <w:tc>
          <w:tcPr>
            <w:tcW w:w="92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%f</w:t>
            </w:r>
          </w:p>
        </w:tc>
      </w:tr>
      <w:tr>
        <w:trPr/>
        <w:tc>
          <w:tcPr>
            <w:tcW w:w="217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double</w:t>
            </w:r>
          </w:p>
        </w:tc>
        <w:tc>
          <w:tcPr>
            <w:tcW w:w="92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%lf</w:t>
            </w:r>
          </w:p>
        </w:tc>
      </w:tr>
      <w:tr>
        <w:trPr/>
        <w:tc>
          <w:tcPr>
            <w:tcW w:w="217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string</w:t>
            </w:r>
            <w:r>
              <w:rPr/>
              <w:t xml:space="preserve"> (char array)</w:t>
            </w:r>
          </w:p>
        </w:tc>
        <w:tc>
          <w:tcPr>
            <w:tcW w:w="92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%s</w:t>
            </w:r>
          </w:p>
        </w:tc>
      </w:tr>
    </w:tbl>
    <w:p>
      <w:pPr>
        <w:pStyle w:val="BodyText"/>
        <w:rPr/>
      </w:pPr>
      <w:r>
        <w:rPr/>
        <w:t xml:space="preserve">📝 </w:t>
      </w:r>
      <w:r>
        <w:rPr>
          <w:rStyle w:val="Strong"/>
        </w:rPr>
        <w:t>Note</w:t>
      </w:r>
      <w:r>
        <w:rPr/>
        <w:t xml:space="preserve">: Always use </w:t>
      </w:r>
      <w:r>
        <w:rPr>
          <w:rStyle w:val="SourceText"/>
        </w:rPr>
        <w:t>&amp;</w:t>
      </w:r>
      <w:r>
        <w:rPr/>
        <w:t xml:space="preserve"> in </w:t>
      </w:r>
      <w:r>
        <w:rPr>
          <w:rStyle w:val="SourceText"/>
        </w:rPr>
        <w:t>scanf</w:t>
      </w:r>
      <w:r>
        <w:rPr/>
        <w:t xml:space="preserve"> except for strings (</w:t>
      </w:r>
      <w:r>
        <w:rPr>
          <w:rStyle w:val="SourceText"/>
        </w:rPr>
        <w:t>char name[]</w:t>
      </w:r>
      <w:r>
        <w:rPr/>
        <w:t>).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🔹 </w:t>
      </w:r>
      <w:r>
        <w:rPr/>
        <w:t>4. Type Casting</w:t>
      </w:r>
    </w:p>
    <w:p>
      <w:pPr>
        <w:pStyle w:val="Heading3"/>
        <w:rPr/>
      </w:pPr>
      <w:r>
        <w:rPr/>
        <w:t xml:space="preserve">🔸 </w:t>
      </w:r>
      <w:r>
        <w:rPr/>
        <w:t>Implicit Casting (Automatic)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Compiler promotes smaller types to larger types automatically.</w:t>
      </w:r>
    </w:p>
    <w:p>
      <w:pPr>
        <w:pStyle w:val="PreformattedText"/>
        <w:rPr/>
      </w:pPr>
      <w:r>
        <w:rPr>
          <w:rStyle w:val="SourceText"/>
        </w:rPr>
        <w:t>int x = 5;</w:t>
      </w:r>
    </w:p>
    <w:p>
      <w:pPr>
        <w:pStyle w:val="PreformattedText"/>
        <w:rPr/>
      </w:pPr>
      <w:r>
        <w:rPr>
          <w:rStyle w:val="SourceText"/>
        </w:rPr>
        <w:t>float y = 2.5;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float result = x + y; // x implicitly cast to float</w:t>
      </w:r>
    </w:p>
    <w:p>
      <w:pPr>
        <w:pStyle w:val="Heading3"/>
        <w:rPr/>
      </w:pPr>
      <w:r>
        <w:rPr/>
        <w:t xml:space="preserve">🔸 </w:t>
      </w:r>
      <w:r>
        <w:rPr/>
        <w:t>Explicit Casting (Manual)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Done by programmer to force a conversion.</w:t>
      </w:r>
    </w:p>
    <w:p>
      <w:pPr>
        <w:pStyle w:val="PreformattedText"/>
        <w:rPr/>
      </w:pPr>
      <w:r>
        <w:rPr>
          <w:rStyle w:val="SourceText"/>
        </w:rPr>
        <w:t>int a = 10, b = 3;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float result = (float)a / b;  // Forces float division</w:t>
      </w:r>
    </w:p>
    <w:p>
      <w:pPr>
        <w:pStyle w:val="Heading3"/>
        <w:rPr/>
      </w:pPr>
      <w:r>
        <w:rPr/>
        <w:t>Type Promotion Order:</w:t>
      </w:r>
    </w:p>
    <w:p>
      <w:pPr>
        <w:pStyle w:val="BodyText"/>
        <w:rPr/>
      </w:pPr>
      <w:r>
        <w:rPr>
          <w:rStyle w:val="SourceText"/>
        </w:rPr>
        <w:t>char</w:t>
      </w:r>
      <w:r>
        <w:rPr/>
        <w:t xml:space="preserve"> → </w:t>
      </w:r>
      <w:r>
        <w:rPr>
          <w:rStyle w:val="SourceText"/>
        </w:rPr>
        <w:t>int</w:t>
      </w:r>
      <w:r>
        <w:rPr/>
        <w:t xml:space="preserve"> → </w:t>
      </w:r>
      <w:r>
        <w:rPr>
          <w:rStyle w:val="SourceText"/>
        </w:rPr>
        <w:t>float</w:t>
      </w:r>
      <w:r>
        <w:rPr/>
        <w:t xml:space="preserve"> → </w:t>
      </w:r>
      <w:r>
        <w:rPr>
          <w:rStyle w:val="SourceText"/>
        </w:rPr>
        <w:t>double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✅ </w:t>
      </w:r>
      <w:r>
        <w:rPr/>
        <w:t>Example Code Using All Concepts:</w:t>
      </w:r>
    </w:p>
    <w:p>
      <w:pPr>
        <w:pStyle w:val="PreformattedText"/>
        <w:rPr/>
      </w:pPr>
      <w:r>
        <w:rPr>
          <w:rStyle w:val="SourceText"/>
        </w:rPr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int main()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age;                      // keyword: int, identifier: age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float height, bmi;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char name[20];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printf("Enter name, age, and height in meters: ");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scanf("%s %d %f", name, &amp;age, &amp;height);  // I/O functions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bmi = (float)age / height;   // Type casting: int to float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printf("Name: %s, Age: %d, Height: %.2f, BMI (fake): %.2f\n", name, age, height, bmi);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0;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/>
        <w:t>Let me know if you’d like: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A PDF version of this?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Practice questions or quiz for these topics?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Next topic suggestions like operators, control structures, or functions?</w:t>
      </w:r>
    </w:p>
    <w:p>
      <w:pPr>
        <w:pStyle w:val="BodyText"/>
        <w:rPr/>
      </w:pPr>
      <w:r>
        <w:rPr/>
        <w:t>Happy coding! 💻✨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709"/>
        <w:jc w:val="start"/>
        <w:rPr>
          <w:rStyle w:val="Strong"/>
          <w:b/>
          <w:bCs/>
        </w:rPr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025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4"/>
      <w:bidi w:val="0"/>
      <w:spacing w:before="120" w:after="120"/>
      <w:jc w:val="center"/>
      <w:rPr/>
    </w:pPr>
    <w:r>
      <w:rPr>
        <w:rStyle w:val="Strong"/>
        <w:b/>
        <w:bCs/>
        <w:sz w:val="32"/>
        <w:szCs w:val="32"/>
        <w:u w:val="single"/>
      </w:rPr>
      <w:t>C Language Fundamentals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4"/>
      <w:bidi w:val="0"/>
      <w:spacing w:before="120" w:after="120"/>
      <w:jc w:val="center"/>
      <w:rPr/>
    </w:pPr>
    <w:r>
      <w:rPr>
        <w:rStyle w:val="Strong"/>
        <w:b/>
        <w:bCs/>
        <w:sz w:val="32"/>
        <w:szCs w:val="32"/>
        <w:u w:val="single"/>
      </w:rPr>
      <w:t>C Language Fundamentals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LibreOffice/24.2.7.2$Linux_X86_64 LibreOffice_project/420$Build-2</Application>
  <AppVersion>15.0000</AppVersion>
  <Pages>3</Pages>
  <Words>462</Words>
  <Characters>2193</Characters>
  <CharactersWithSpaces>2593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2025-04-04T17:28:44Z</dcterms:created>
  <dc:creator/>
  <dc:description/>
  <dc:language>en-US</dc:language>
  <cp:lastModifiedBy/>
  <dcterms:modified xsi:type="dcterms:W3CDTF">2025-04-08T13:01:32Z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