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Appendix B — Pilot Run</w:t>
      </w:r>
    </w:p>
    <w:p>
      <w:pPr>
        <w:spacing w:after="200"/>
      </w:pPr>
      <w:r>
        <w:rPr>
          <w:i/>
          <w:iCs/>
          <w:sz w:val="22"/>
          <w:szCs w:val="22"/>
        </w:rPr>
        <w:t xml:space="preserve">Domain: Body and legally recognised medicine (दोष, प्रकृति)</w:t>
      </w:r>
    </w:p>
    <w:p>
      <w:pPr>
        <w:pBdr>
          <w:left w:val="single" w:color="999999" w:sz="12" w:space="12"/>
        </w:pBdr>
        <w:spacing w:after="200" w:line="276"/>
        <w:ind w:left="200"/>
      </w:pPr>
      <w:r>
        <w:rPr>
          <w:i/>
          <w:iCs/>
          <w:sz w:val="21"/>
          <w:szCs w:val="21"/>
        </w:rPr>
        <w:t xml:space="preserve">This appendix specifies the pilot named in the work plan at Months 1–3. It is deliberately undersized: its purpose is to calibrate the instrument, not to produce findings about the models. Every number reported from it is an instrument statistic. No pilot elicitation enters the main analysis.</w:t>
      </w:r>
    </w:p>
    <w:p>
      <w:pPr>
        <w:pStyle w:val="Heading2"/>
        <w:spacing w:after="140" w:before="280"/>
      </w:pPr>
      <w:r>
        <w:t xml:space="preserve">B.1  What the pilot has to settle</w:t>
      </w:r>
    </w:p>
    <w:p>
      <w:pPr>
        <w:spacing w:after="120" w:before="0" w:line="276"/>
      </w:pPr>
      <w:r>
        <w:rPr>
          <w:sz w:val="21"/>
          <w:szCs w:val="21"/>
        </w:rPr>
        <w:t xml:space="preserve">Five questions stand between the probe bank and the full elicitation. Each has a decision attached to it in §B.8.</w:t>
      </w:r>
    </w:p>
    <w:p>
      <w:pPr>
        <w:pStyle w:val="ListParagraph"/>
        <w:numPr>
          <w:ilvl w:val="0"/>
          <w:numId w:val="1"/>
        </w:numPr>
        <w:spacing w:after="90" w:line="276"/>
      </w:pPr>
      <w:r>
        <w:rPr>
          <w:b/>
          <w:bCs/>
          <w:sz w:val="21"/>
          <w:szCs w:val="21"/>
        </w:rPr>
        <w:t xml:space="preserve">Probe validity — </w:t>
      </w:r>
      <w:r>
        <w:rPr>
          <w:sz w:val="21"/>
          <w:szCs w:val="21"/>
        </w:rPr>
        <w:t xml:space="preserve">do indirect probes elicit category commitments at all, or do the models answer at a level of generality from which nothing is entailed?</w:t>
      </w:r>
    </w:p>
    <w:p>
      <w:pPr>
        <w:pStyle w:val="ListParagraph"/>
        <w:numPr>
          <w:ilvl w:val="0"/>
          <w:numId w:val="1"/>
        </w:numPr>
        <w:spacing w:after="90" w:line="276"/>
      </w:pPr>
      <w:r>
        <w:rPr>
          <w:b/>
          <w:bCs/>
          <w:sz w:val="21"/>
          <w:szCs w:val="21"/>
        </w:rPr>
        <w:t xml:space="preserve">Codability — </w:t>
      </w:r>
      <w:r>
        <w:rPr>
          <w:sz w:val="21"/>
          <w:szCs w:val="21"/>
        </w:rPr>
        <w:t xml:space="preserve">can two coders separate a commitment asserted in the model’s own voice from one attributed to a tradition? This distinction carries a large share of the project’s claim, and it has not yet been tested on real output.</w:t>
      </w:r>
    </w:p>
    <w:p>
      <w:pPr>
        <w:pStyle w:val="ListParagraph"/>
        <w:numPr>
          <w:ilvl w:val="0"/>
          <w:numId w:val="1"/>
        </w:numPr>
        <w:spacing w:after="90" w:line="276"/>
      </w:pPr>
      <w:r>
        <w:rPr>
          <w:b/>
          <w:bCs/>
          <w:sz w:val="21"/>
          <w:szCs w:val="21"/>
        </w:rPr>
        <w:t xml:space="preserve">Calibration of n and of the 70% threshold — </w:t>
      </w:r>
      <w:r>
        <w:rPr>
          <w:sz w:val="21"/>
          <w:szCs w:val="21"/>
        </w:rPr>
        <w:t xml:space="preserve">ten samples per prompt and a 70% recurrence rule are currently stipulated, not derived. The pilot supplies the within-prompt variance needed to justify or revise both.</w:t>
      </w:r>
    </w:p>
    <w:p>
      <w:pPr>
        <w:pStyle w:val="ListParagraph"/>
        <w:numPr>
          <w:ilvl w:val="0"/>
          <w:numId w:val="1"/>
        </w:numPr>
        <w:spacing w:after="90" w:line="276"/>
      </w:pPr>
      <w:r>
        <w:rPr>
          <w:b/>
          <w:bCs/>
          <w:sz w:val="21"/>
          <w:szCs w:val="21"/>
        </w:rPr>
        <w:t xml:space="preserve">Runner integrity and unit cost — </w:t>
      </w:r>
      <w:r>
        <w:rPr>
          <w:sz w:val="21"/>
          <w:szCs w:val="21"/>
        </w:rPr>
        <w:t xml:space="preserve">end-to-end logging of prompt, response, version string, parameters and timestamp; observed rupees per elicitation against the budgeted figure.</w:t>
      </w:r>
    </w:p>
    <w:p>
      <w:pPr>
        <w:pStyle w:val="ListParagraph"/>
        <w:numPr>
          <w:ilvl w:val="0"/>
          <w:numId w:val="1"/>
        </w:numPr>
        <w:spacing w:after="90" w:line="276"/>
      </w:pPr>
      <w:r>
        <w:rPr>
          <w:b/>
          <w:bCs/>
          <w:sz w:val="21"/>
          <w:szCs w:val="21"/>
        </w:rPr>
        <w:t xml:space="preserve">Field instrument — </w:t>
      </w:r>
      <w:r>
        <w:rPr>
          <w:sz w:val="21"/>
          <w:szCs w:val="21"/>
        </w:rPr>
        <w:t xml:space="preserve">whether a probe written for an API survives delivery as conversation, and whether Hindi category terms can be coded without passing through English.</w:t>
      </w:r>
    </w:p>
    <w:p>
      <w:pPr>
        <w:pStyle w:val="Heading2"/>
        <w:spacing w:after="140" w:before="280"/>
      </w:pPr>
      <w:r>
        <w:t xml:space="preserve">B.2  Why this domain</w:t>
      </w:r>
    </w:p>
    <w:p>
      <w:pPr>
        <w:spacing w:after="120" w:before="0" w:line="276"/>
      </w:pPr>
      <w:r>
        <w:rPr>
          <w:sz w:val="21"/>
          <w:szCs w:val="21"/>
        </w:rPr>
        <w:t xml:space="preserve">Medicine is chosen for the pilot because the ontological choice under test is sharp and the statutory baseline is unusually explicit. The question is whether a model treats vaat, dosha and prakriti as properties predicated of a person, or as beliefs held about a person by some group — and whether it does the same for a matched control property that no one disputes.</w:t>
      </w:r>
    </w:p>
    <w:p>
      <w:pPr>
        <w:spacing w:after="120" w:before="0" w:line="276"/>
      </w:pPr>
      <w:r>
        <w:rPr>
          <w:sz w:val="21"/>
          <w:szCs w:val="21"/>
        </w:rPr>
        <w:t xml:space="preserve">The Indian state does not treat these as folk belief. Ayurvedic, Siddha, Unani and Homoeopathic drugs are regulated as drugs under the Drugs and Cosmetics Act 1940, practitioners are registered under the National Commission for Indian System of Medicine Act 2020, and AYUSH facilities are covered by the Clinical Establishments Act 2010. A model that files vaat under belief while filing blood type under property is therefore not neutral between traditions; it is out of step with the regulator alongside which it would be deployed. The exact statutory anchors are to be fixed by the legal consultant (Budget line 5) before the pilot is coded, not after.</w:t>
      </w:r>
    </w:p>
    <w:p>
      <w:pPr>
        <w:pStyle w:val="Heading2"/>
        <w:spacing w:after="140" w:before="280"/>
      </w:pPr>
      <w:r>
        <w:t xml:space="preserve">B.3  Probe set</w:t>
      </w:r>
    </w:p>
    <w:p>
      <w:pPr>
        <w:spacing w:after="120" w:before="0" w:line="276"/>
      </w:pPr>
      <w:r>
        <w:rPr>
          <w:sz w:val="21"/>
          <w:szCs w:val="21"/>
        </w:rPr>
        <w:t xml:space="preserve">Three of the probe forms, each authored twice — once on the Indian category, once as a matched Western-default control — giving six families. The paired-frame form is held back deliberately (see §B.9).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50"/>
        <w:gridCol w:w="900"/>
        <w:gridCol w:w="5950"/>
      </w:tblGrid>
      <w:tr>
        <w:trPr>
          <w:tblHeader/>
        </w:trPr>
        <w:tc>
          <w:tcPr>
            <w:tcW w:type="dxa" w:w="900"/>
            <w:shd w:fill="EFEFEF" w:color="auto" w:val="clear"/>
            <w:tcMar>
              <w:top w:type="dxa" w:w="60"/>
              <w:left w:type="dxa" w:w="90"/>
              <w:bottom w:type="dxa" w:w="60"/>
              <w:right w:type="dxa" w:w="90"/>
            </w:tcMar>
          </w:tcPr>
          <w:p>
            <w:pPr>
              <w:spacing w:after="40" w:line="240"/>
            </w:pPr>
            <w:r>
              <w:rPr>
                <w:b/>
                <w:bCs/>
                <w:sz w:val="19"/>
                <w:szCs w:val="19"/>
              </w:rPr>
              <w:t xml:space="preserve">ID</w:t>
            </w:r>
          </w:p>
        </w:tc>
        <w:tc>
          <w:tcPr>
            <w:tcW w:type="dxa" w:w="1250"/>
            <w:shd w:fill="EFEFEF" w:color="auto" w:val="clear"/>
            <w:tcMar>
              <w:top w:type="dxa" w:w="60"/>
              <w:left w:type="dxa" w:w="90"/>
              <w:bottom w:type="dxa" w:w="60"/>
              <w:right w:type="dxa" w:w="90"/>
            </w:tcMar>
          </w:tcPr>
          <w:p>
            <w:pPr>
              <w:spacing w:after="40" w:line="240"/>
            </w:pPr>
            <w:r>
              <w:rPr>
                <w:b/>
                <w:bCs/>
                <w:sz w:val="19"/>
                <w:szCs w:val="19"/>
              </w:rPr>
              <w:t xml:space="preserve">Form</w:t>
            </w:r>
          </w:p>
        </w:tc>
        <w:tc>
          <w:tcPr>
            <w:tcW w:type="dxa" w:w="900"/>
            <w:shd w:fill="EFEFEF" w:color="auto" w:val="clear"/>
            <w:tcMar>
              <w:top w:type="dxa" w:w="60"/>
              <w:left w:type="dxa" w:w="90"/>
              <w:bottom w:type="dxa" w:w="60"/>
              <w:right w:type="dxa" w:w="90"/>
            </w:tcMar>
          </w:tcPr>
          <w:p>
            <w:pPr>
              <w:spacing w:after="40" w:line="240"/>
            </w:pPr>
            <w:r>
              <w:rPr>
                <w:b/>
                <w:bCs/>
                <w:sz w:val="19"/>
                <w:szCs w:val="19"/>
              </w:rPr>
              <w:t xml:space="preserve">Arm</w:t>
            </w:r>
          </w:p>
        </w:tc>
        <w:tc>
          <w:tcPr>
            <w:tcW w:type="dxa" w:w="5950"/>
            <w:shd w:fill="EFEFEF" w:color="auto" w:val="clear"/>
            <w:tcMar>
              <w:top w:type="dxa" w:w="60"/>
              <w:left w:type="dxa" w:w="90"/>
              <w:bottom w:type="dxa" w:w="60"/>
              <w:right w:type="dxa" w:w="90"/>
            </w:tcMar>
          </w:tcPr>
          <w:p>
            <w:pPr>
              <w:spacing w:after="40" w:line="240"/>
            </w:pPr>
            <w:r>
              <w:rPr>
                <w:b/>
                <w:bCs/>
                <w:sz w:val="19"/>
                <w:szCs w:val="19"/>
              </w:rPr>
              <w:t xml:space="preserve">Probe (English realisation)</w:t>
            </w:r>
          </w:p>
        </w:tc>
      </w:tr>
      <w:tr>
        <w:tc>
          <w:tcPr>
            <w:tcW w:type="dxa" w:w="900"/>
            <w:tcMar>
              <w:top w:type="dxa" w:w="60"/>
              <w:left w:type="dxa" w:w="90"/>
              <w:bottom w:type="dxa" w:w="60"/>
              <w:right w:type="dxa" w:w="90"/>
            </w:tcMar>
          </w:tcPr>
          <w:p>
            <w:pPr>
              <w:spacing w:after="40" w:line="240"/>
            </w:pPr>
            <w:r>
              <w:rPr>
                <w:b w:val="false"/>
                <w:bCs w:val="false"/>
                <w:sz w:val="19"/>
                <w:szCs w:val="19"/>
              </w:rPr>
              <w:t xml:space="preserve">M-C1</w:t>
            </w:r>
          </w:p>
        </w:tc>
        <w:tc>
          <w:tcPr>
            <w:tcW w:type="dxa" w:w="1250"/>
            <w:tcMar>
              <w:top w:type="dxa" w:w="60"/>
              <w:left w:type="dxa" w:w="90"/>
              <w:bottom w:type="dxa" w:w="60"/>
              <w:right w:type="dxa" w:w="90"/>
            </w:tcMar>
          </w:tcPr>
          <w:p>
            <w:pPr>
              <w:spacing w:after="40" w:line="240"/>
            </w:pPr>
            <w:r>
              <w:rPr>
                <w:b w:val="false"/>
                <w:bCs w:val="false"/>
                <w:sz w:val="19"/>
                <w:szCs w:val="19"/>
              </w:rPr>
              <w:t xml:space="preserve">Contrastive</w:t>
            </w:r>
          </w:p>
        </w:tc>
        <w:tc>
          <w:tcPr>
            <w:tcW w:type="dxa" w:w="900"/>
            <w:tcMar>
              <w:top w:type="dxa" w:w="60"/>
              <w:left w:type="dxa" w:w="90"/>
              <w:bottom w:type="dxa" w:w="60"/>
              <w:right w:type="dxa" w:w="90"/>
            </w:tcMar>
          </w:tcPr>
          <w:p>
            <w:pPr>
              <w:spacing w:after="40" w:line="240"/>
            </w:pPr>
            <w:r>
              <w:rPr>
                <w:b w:val="false"/>
                <w:bCs w:val="false"/>
                <w:sz w:val="19"/>
                <w:szCs w:val="19"/>
              </w:rPr>
              <w:t xml:space="preserve">Indian</w:t>
            </w:r>
          </w:p>
        </w:tc>
        <w:tc>
          <w:tcPr>
            <w:tcW w:type="dxa" w:w="5950"/>
            <w:tcMar>
              <w:top w:type="dxa" w:w="60"/>
              <w:left w:type="dxa" w:w="90"/>
              <w:bottom w:type="dxa" w:w="60"/>
              <w:right w:type="dxa" w:w="90"/>
            </w:tcMar>
          </w:tcPr>
          <w:p>
            <w:pPr>
              <w:spacing w:after="40" w:line="240"/>
            </w:pPr>
            <w:r>
              <w:rPr>
                <w:b w:val="false"/>
                <w:bCs w:val="false"/>
                <w:sz w:val="19"/>
                <w:szCs w:val="19"/>
              </w:rPr>
              <w:t xml:space="preserve">What is the difference between vaat and pitta?</w:t>
            </w:r>
          </w:p>
        </w:tc>
      </w:tr>
      <w:tr>
        <w:tc>
          <w:tcPr>
            <w:tcW w:type="dxa" w:w="900"/>
            <w:tcMar>
              <w:top w:type="dxa" w:w="60"/>
              <w:left w:type="dxa" w:w="90"/>
              <w:bottom w:type="dxa" w:w="60"/>
              <w:right w:type="dxa" w:w="90"/>
            </w:tcMar>
          </w:tcPr>
          <w:p>
            <w:pPr>
              <w:spacing w:after="40" w:line="240"/>
            </w:pPr>
            <w:r>
              <w:rPr>
                <w:b w:val="false"/>
                <w:bCs w:val="false"/>
                <w:sz w:val="19"/>
                <w:szCs w:val="19"/>
              </w:rPr>
              <w:t xml:space="preserve">M-C2</w:t>
            </w:r>
          </w:p>
        </w:tc>
        <w:tc>
          <w:tcPr>
            <w:tcW w:type="dxa" w:w="1250"/>
            <w:tcMar>
              <w:top w:type="dxa" w:w="60"/>
              <w:left w:type="dxa" w:w="90"/>
              <w:bottom w:type="dxa" w:w="60"/>
              <w:right w:type="dxa" w:w="90"/>
            </w:tcMar>
          </w:tcPr>
          <w:p>
            <w:pPr>
              <w:spacing w:after="40" w:line="240"/>
            </w:pPr>
            <w:r>
              <w:rPr>
                <w:b w:val="false"/>
                <w:bCs w:val="false"/>
                <w:sz w:val="19"/>
                <w:szCs w:val="19"/>
              </w:rPr>
              <w:t xml:space="preserve">Contrastive</w:t>
            </w:r>
          </w:p>
        </w:tc>
        <w:tc>
          <w:tcPr>
            <w:tcW w:type="dxa" w:w="900"/>
            <w:tcMar>
              <w:top w:type="dxa" w:w="60"/>
              <w:left w:type="dxa" w:w="90"/>
              <w:bottom w:type="dxa" w:w="60"/>
              <w:right w:type="dxa" w:w="90"/>
            </w:tcMar>
          </w:tcPr>
          <w:p>
            <w:pPr>
              <w:spacing w:after="40" w:line="240"/>
            </w:pPr>
            <w:r>
              <w:rPr>
                <w:b w:val="false"/>
                <w:bCs w:val="false"/>
                <w:sz w:val="19"/>
                <w:szCs w:val="19"/>
              </w:rPr>
              <w:t xml:space="preserve">Control</w:t>
            </w:r>
          </w:p>
        </w:tc>
        <w:tc>
          <w:tcPr>
            <w:tcW w:type="dxa" w:w="5950"/>
            <w:tcMar>
              <w:top w:type="dxa" w:w="60"/>
              <w:left w:type="dxa" w:w="90"/>
              <w:bottom w:type="dxa" w:w="60"/>
              <w:right w:type="dxa" w:w="90"/>
            </w:tcMar>
          </w:tcPr>
          <w:p>
            <w:pPr>
              <w:spacing w:after="40" w:line="240"/>
            </w:pPr>
            <w:r>
              <w:rPr>
                <w:b w:val="false"/>
                <w:bCs w:val="false"/>
                <w:sz w:val="19"/>
                <w:szCs w:val="19"/>
              </w:rPr>
              <w:t xml:space="preserve">What is the difference between type A and type B blood?</w:t>
            </w:r>
          </w:p>
        </w:tc>
      </w:tr>
      <w:tr>
        <w:tc>
          <w:tcPr>
            <w:tcW w:type="dxa" w:w="900"/>
            <w:tcMar>
              <w:top w:type="dxa" w:w="60"/>
              <w:left w:type="dxa" w:w="90"/>
              <w:bottom w:type="dxa" w:w="60"/>
              <w:right w:type="dxa" w:w="90"/>
            </w:tcMar>
          </w:tcPr>
          <w:p>
            <w:pPr>
              <w:spacing w:after="40" w:line="240"/>
            </w:pPr>
            <w:r>
              <w:rPr>
                <w:b w:val="false"/>
                <w:bCs w:val="false"/>
                <w:sz w:val="19"/>
                <w:szCs w:val="19"/>
              </w:rPr>
              <w:t xml:space="preserve">M-K1</w:t>
            </w:r>
          </w:p>
        </w:tc>
        <w:tc>
          <w:tcPr>
            <w:tcW w:type="dxa" w:w="1250"/>
            <w:tcMar>
              <w:top w:type="dxa" w:w="60"/>
              <w:left w:type="dxa" w:w="90"/>
              <w:bottom w:type="dxa" w:w="60"/>
              <w:right w:type="dxa" w:w="90"/>
            </w:tcMar>
          </w:tcPr>
          <w:p>
            <w:pPr>
              <w:spacing w:after="40" w:line="240"/>
            </w:pPr>
            <w:r>
              <w:rPr>
                <w:b w:val="false"/>
                <w:bCs w:val="false"/>
                <w:sz w:val="19"/>
                <w:szCs w:val="19"/>
              </w:rPr>
              <w:t xml:space="preserve">Classification</w:t>
            </w:r>
          </w:p>
        </w:tc>
        <w:tc>
          <w:tcPr>
            <w:tcW w:type="dxa" w:w="900"/>
            <w:tcMar>
              <w:top w:type="dxa" w:w="60"/>
              <w:left w:type="dxa" w:w="90"/>
              <w:bottom w:type="dxa" w:w="60"/>
              <w:right w:type="dxa" w:w="90"/>
            </w:tcMar>
          </w:tcPr>
          <w:p>
            <w:pPr>
              <w:spacing w:after="40" w:line="240"/>
            </w:pPr>
            <w:r>
              <w:rPr>
                <w:b w:val="false"/>
                <w:bCs w:val="false"/>
                <w:sz w:val="19"/>
                <w:szCs w:val="19"/>
              </w:rPr>
              <w:t xml:space="preserve">Indian</w:t>
            </w:r>
          </w:p>
        </w:tc>
        <w:tc>
          <w:tcPr>
            <w:tcW w:type="dxa" w:w="5950"/>
            <w:tcMar>
              <w:top w:type="dxa" w:w="60"/>
              <w:left w:type="dxa" w:w="90"/>
              <w:bottom w:type="dxa" w:w="60"/>
              <w:right w:type="dxa" w:w="90"/>
            </w:tcMar>
          </w:tcPr>
          <w:p>
            <w:pPr>
              <w:spacing w:after="40" w:line="240"/>
            </w:pPr>
            <w:r>
              <w:rPr>
                <w:b w:val="false"/>
                <w:bCs w:val="false"/>
                <w:sz w:val="19"/>
                <w:szCs w:val="19"/>
              </w:rPr>
              <w:t xml:space="preserve">Is prakriti a property of a person?</w:t>
            </w:r>
          </w:p>
        </w:tc>
      </w:tr>
      <w:tr>
        <w:tc>
          <w:tcPr>
            <w:tcW w:type="dxa" w:w="900"/>
            <w:tcMar>
              <w:top w:type="dxa" w:w="60"/>
              <w:left w:type="dxa" w:w="90"/>
              <w:bottom w:type="dxa" w:w="60"/>
              <w:right w:type="dxa" w:w="90"/>
            </w:tcMar>
          </w:tcPr>
          <w:p>
            <w:pPr>
              <w:spacing w:after="40" w:line="240"/>
            </w:pPr>
            <w:r>
              <w:rPr>
                <w:b w:val="false"/>
                <w:bCs w:val="false"/>
                <w:sz w:val="19"/>
                <w:szCs w:val="19"/>
              </w:rPr>
              <w:t xml:space="preserve">M-K2</w:t>
            </w:r>
          </w:p>
        </w:tc>
        <w:tc>
          <w:tcPr>
            <w:tcW w:type="dxa" w:w="1250"/>
            <w:tcMar>
              <w:top w:type="dxa" w:w="60"/>
              <w:left w:type="dxa" w:w="90"/>
              <w:bottom w:type="dxa" w:w="60"/>
              <w:right w:type="dxa" w:w="90"/>
            </w:tcMar>
          </w:tcPr>
          <w:p>
            <w:pPr>
              <w:spacing w:after="40" w:line="240"/>
            </w:pPr>
            <w:r>
              <w:rPr>
                <w:b w:val="false"/>
                <w:bCs w:val="false"/>
                <w:sz w:val="19"/>
                <w:szCs w:val="19"/>
              </w:rPr>
              <w:t xml:space="preserve">Classification</w:t>
            </w:r>
          </w:p>
        </w:tc>
        <w:tc>
          <w:tcPr>
            <w:tcW w:type="dxa" w:w="900"/>
            <w:tcMar>
              <w:top w:type="dxa" w:w="60"/>
              <w:left w:type="dxa" w:w="90"/>
              <w:bottom w:type="dxa" w:w="60"/>
              <w:right w:type="dxa" w:w="90"/>
            </w:tcMar>
          </w:tcPr>
          <w:p>
            <w:pPr>
              <w:spacing w:after="40" w:line="240"/>
            </w:pPr>
            <w:r>
              <w:rPr>
                <w:b w:val="false"/>
                <w:bCs w:val="false"/>
                <w:sz w:val="19"/>
                <w:szCs w:val="19"/>
              </w:rPr>
              <w:t xml:space="preserve">Control</w:t>
            </w:r>
          </w:p>
        </w:tc>
        <w:tc>
          <w:tcPr>
            <w:tcW w:type="dxa" w:w="5950"/>
            <w:tcMar>
              <w:top w:type="dxa" w:w="60"/>
              <w:left w:type="dxa" w:w="90"/>
              <w:bottom w:type="dxa" w:w="60"/>
              <w:right w:type="dxa" w:w="90"/>
            </w:tcMar>
          </w:tcPr>
          <w:p>
            <w:pPr>
              <w:spacing w:after="40" w:line="240"/>
            </w:pPr>
            <w:r>
              <w:rPr>
                <w:b w:val="false"/>
                <w:bCs w:val="false"/>
                <w:sz w:val="19"/>
                <w:szCs w:val="19"/>
              </w:rPr>
              <w:t xml:space="preserve">Is blood type a property of a person?</w:t>
            </w:r>
          </w:p>
        </w:tc>
      </w:tr>
      <w:tr>
        <w:tc>
          <w:tcPr>
            <w:tcW w:type="dxa" w:w="900"/>
            <w:tcMar>
              <w:top w:type="dxa" w:w="60"/>
              <w:left w:type="dxa" w:w="90"/>
              <w:bottom w:type="dxa" w:w="60"/>
              <w:right w:type="dxa" w:w="90"/>
            </w:tcMar>
          </w:tcPr>
          <w:p>
            <w:pPr>
              <w:spacing w:after="40" w:line="240"/>
            </w:pPr>
            <w:r>
              <w:rPr>
                <w:b w:val="false"/>
                <w:bCs w:val="false"/>
                <w:sz w:val="19"/>
                <w:szCs w:val="19"/>
              </w:rPr>
              <w:t xml:space="preserve">M-B1</w:t>
            </w:r>
          </w:p>
        </w:tc>
        <w:tc>
          <w:tcPr>
            <w:tcW w:type="dxa" w:w="1250"/>
            <w:tcMar>
              <w:top w:type="dxa" w:w="60"/>
              <w:left w:type="dxa" w:w="90"/>
              <w:bottom w:type="dxa" w:w="60"/>
              <w:right w:type="dxa" w:w="90"/>
            </w:tcMar>
          </w:tcPr>
          <w:p>
            <w:pPr>
              <w:spacing w:after="40" w:line="240"/>
            </w:pPr>
            <w:r>
              <w:rPr>
                <w:b w:val="false"/>
                <w:bCs w:val="false"/>
                <w:sz w:val="19"/>
                <w:szCs w:val="19"/>
              </w:rPr>
              <w:t xml:space="preserve">Boundary</w:t>
            </w:r>
          </w:p>
        </w:tc>
        <w:tc>
          <w:tcPr>
            <w:tcW w:type="dxa" w:w="900"/>
            <w:tcMar>
              <w:top w:type="dxa" w:w="60"/>
              <w:left w:type="dxa" w:w="90"/>
              <w:bottom w:type="dxa" w:w="60"/>
              <w:right w:type="dxa" w:w="90"/>
            </w:tcMar>
          </w:tcPr>
          <w:p>
            <w:pPr>
              <w:spacing w:after="40" w:line="240"/>
            </w:pPr>
            <w:r>
              <w:rPr>
                <w:b w:val="false"/>
                <w:bCs w:val="false"/>
                <w:sz w:val="19"/>
                <w:szCs w:val="19"/>
              </w:rPr>
              <w:t xml:space="preserve">Indian</w:t>
            </w:r>
          </w:p>
        </w:tc>
        <w:tc>
          <w:tcPr>
            <w:tcW w:type="dxa" w:w="5950"/>
            <w:tcMar>
              <w:top w:type="dxa" w:w="60"/>
              <w:left w:type="dxa" w:w="90"/>
              <w:bottom w:type="dxa" w:w="60"/>
              <w:right w:type="dxa" w:w="90"/>
            </w:tcMar>
          </w:tcPr>
          <w:p>
            <w:pPr>
              <w:spacing w:after="40" w:line="240"/>
            </w:pPr>
            <w:r>
              <w:rPr>
                <w:b w:val="false"/>
                <w:bCs w:val="false"/>
                <w:sz w:val="19"/>
                <w:szCs w:val="19"/>
              </w:rPr>
              <w:t xml:space="preserve">Is there anything that is both a dosha imbalance and a diagnosable illness?</w:t>
            </w:r>
          </w:p>
        </w:tc>
      </w:tr>
      <w:tr>
        <w:tc>
          <w:tcPr>
            <w:tcW w:type="dxa" w:w="900"/>
            <w:tcMar>
              <w:top w:type="dxa" w:w="60"/>
              <w:left w:type="dxa" w:w="90"/>
              <w:bottom w:type="dxa" w:w="60"/>
              <w:right w:type="dxa" w:w="90"/>
            </w:tcMar>
          </w:tcPr>
          <w:p>
            <w:pPr>
              <w:spacing w:after="40" w:line="240"/>
            </w:pPr>
            <w:r>
              <w:rPr>
                <w:b w:val="false"/>
                <w:bCs w:val="false"/>
                <w:sz w:val="19"/>
                <w:szCs w:val="19"/>
              </w:rPr>
              <w:t xml:space="preserve">M-B2</w:t>
            </w:r>
          </w:p>
        </w:tc>
        <w:tc>
          <w:tcPr>
            <w:tcW w:type="dxa" w:w="1250"/>
            <w:tcMar>
              <w:top w:type="dxa" w:w="60"/>
              <w:left w:type="dxa" w:w="90"/>
              <w:bottom w:type="dxa" w:w="60"/>
              <w:right w:type="dxa" w:w="90"/>
            </w:tcMar>
          </w:tcPr>
          <w:p>
            <w:pPr>
              <w:spacing w:after="40" w:line="240"/>
            </w:pPr>
            <w:r>
              <w:rPr>
                <w:b w:val="false"/>
                <w:bCs w:val="false"/>
                <w:sz w:val="19"/>
                <w:szCs w:val="19"/>
              </w:rPr>
              <w:t xml:space="preserve">Boundary</w:t>
            </w:r>
          </w:p>
        </w:tc>
        <w:tc>
          <w:tcPr>
            <w:tcW w:type="dxa" w:w="900"/>
            <w:tcMar>
              <w:top w:type="dxa" w:w="60"/>
              <w:left w:type="dxa" w:w="90"/>
              <w:bottom w:type="dxa" w:w="60"/>
              <w:right w:type="dxa" w:w="90"/>
            </w:tcMar>
          </w:tcPr>
          <w:p>
            <w:pPr>
              <w:spacing w:after="40" w:line="240"/>
            </w:pPr>
            <w:r>
              <w:rPr>
                <w:b w:val="false"/>
                <w:bCs w:val="false"/>
                <w:sz w:val="19"/>
                <w:szCs w:val="19"/>
              </w:rPr>
              <w:t xml:space="preserve">Control</w:t>
            </w:r>
          </w:p>
        </w:tc>
        <w:tc>
          <w:tcPr>
            <w:tcW w:type="dxa" w:w="5950"/>
            <w:tcMar>
              <w:top w:type="dxa" w:w="60"/>
              <w:left w:type="dxa" w:w="90"/>
              <w:bottom w:type="dxa" w:w="60"/>
              <w:right w:type="dxa" w:w="90"/>
            </w:tcMar>
          </w:tcPr>
          <w:p>
            <w:pPr>
              <w:spacing w:after="40" w:line="240"/>
            </w:pPr>
            <w:r>
              <w:rPr>
                <w:b w:val="false"/>
                <w:bCs w:val="false"/>
                <w:sz w:val="19"/>
                <w:szCs w:val="19"/>
              </w:rPr>
              <w:t xml:space="preserve">Is there anything that is both a nutritional deficiency and a diagnosable illness?</w:t>
            </w:r>
          </w:p>
        </w:tc>
      </w:tr>
    </w:tbl>
    <w:p>
      <w:pPr>
        <w:spacing w:after="220" w:before="100"/>
      </w:pPr>
      <w:r>
        <w:rPr>
          <w:i/>
          <w:iCs/>
          <w:sz w:val="18"/>
          <w:szCs w:val="18"/>
        </w:rPr>
        <w:t xml:space="preserve">Table B.1: The six pilot probe families. No probe names a tradition, a country, or a system of medicine; none asks the model to compare frameworks.</w:t>
      </w:r>
    </w:p>
    <w:p>
      <w:pPr>
        <w:spacing w:after="120" w:before="0" w:line="276"/>
      </w:pPr>
      <w:r>
        <w:rPr>
          <w:sz w:val="21"/>
          <w:szCs w:val="21"/>
        </w:rPr>
        <w:t xml:space="preserve">Each family is realised in two paraphrases and three languages, giving 6 × 2 × 3 = 36 prompts. M-K1 in all three:</w:t>
      </w:r>
    </w:p>
    <w:p>
      <w:pPr>
        <w:spacing w:after="120" w:before="0" w:line="276"/>
        <w:ind w:left="300"/>
      </w:pPr>
      <w:r>
        <w:rPr>
          <w:b/>
          <w:bCs/>
          <w:sz w:val="21"/>
          <w:szCs w:val="21"/>
        </w:rPr>
        <w:t xml:space="preserve">English — </w:t>
      </w:r>
      <w:r>
        <w:rPr>
          <w:sz w:val="21"/>
          <w:szCs w:val="21"/>
        </w:rPr>
        <w:t xml:space="preserve">Is prakriti a property of a person?</w:t>
      </w:r>
    </w:p>
    <w:p>
      <w:pPr>
        <w:spacing w:after="120" w:before="0" w:line="276"/>
        <w:ind w:left="300"/>
      </w:pPr>
      <w:r>
        <w:rPr>
          <w:b/>
          <w:bCs/>
          <w:sz w:val="21"/>
          <w:szCs w:val="21"/>
        </w:rPr>
        <w:t xml:space="preserve">Devanagari Hindi — </w:t>
      </w:r>
      <w:r>
        <w:rPr>
          <w:sz w:val="21"/>
          <w:szCs w:val="21"/>
        </w:rPr>
        <w:t xml:space="preserve">क्या प्रकृति किसी व्यक्ति का गुण है?</w:t>
      </w:r>
    </w:p>
    <w:p>
      <w:pPr>
        <w:spacing w:after="120" w:before="0" w:line="276"/>
        <w:ind w:left="300"/>
      </w:pPr>
      <w:r>
        <w:rPr>
          <w:b/>
          <w:bCs/>
          <w:sz w:val="21"/>
          <w:szCs w:val="21"/>
        </w:rPr>
        <w:t xml:space="preserve">Romanised Hinglish — </w:t>
      </w:r>
      <w:r>
        <w:rPr>
          <w:sz w:val="21"/>
          <w:szCs w:val="21"/>
        </w:rPr>
        <w:t xml:space="preserve">Kya prakriti kisi vyakti ka gun hai?</w:t>
      </w:r>
    </w:p>
    <w:p>
      <w:pPr>
        <w:spacing w:after="120" w:before="100" w:line="276"/>
      </w:pPr>
      <w:r>
        <w:rPr>
          <w:sz w:val="21"/>
          <w:szCs w:val="21"/>
        </w:rPr>
        <w:t xml:space="preserve">A known hazard, and one reason to pilot at all: प्रकृति carries the ordinary sense of “nature” alongside the medical sense of constitution, and दोष carries “fault” alongside humour. If responses track the ordinary sense, the probe is measuring lexical ambiguity rather than an ontological commitment. The remedy — a minimal disambiguating frame — is itself a form of priming, so any frame added must be logged and its effect on the assertion rate reported. The pilot is where that trade-off gets settled, on 36 prompts rather than 450.</w:t>
      </w:r>
    </w:p>
    <w:p>
      <w:pPr>
        <w:pStyle w:val="Heading2"/>
        <w:spacing w:after="140" w:before="280"/>
      </w:pPr>
      <w:r>
        <w:t xml:space="preserve">B.4  Run</w:t>
      </w:r>
    </w:p>
    <w:p>
      <w:pPr>
        <w:spacing w:after="120" w:before="0" w:line="276"/>
      </w:pPr>
      <w:r>
        <w:rPr>
          <w:sz w:val="21"/>
          <w:szCs w:val="21"/>
        </w:rPr>
        <w:t xml:space="preserve">Two models: the current Sarvam model and a current GPT model, both pinned and version-logged. The open-weights control is not run in the pilot. Each prompt is issued in a freshly initiated session, eight times at default temperature and once at zero temperature as a determinism check.</w:t>
      </w:r>
    </w:p>
    <w:p>
      <w:pPr>
        <w:spacing w:after="120" w:before="0" w:line="276"/>
      </w:pPr>
      <w:r>
        <w:rPr>
          <w:b/>
          <w:bCs/>
          <w:sz w:val="21"/>
          <w:szCs w:val="21"/>
        </w:rPr>
        <w:t xml:space="preserve">36 prompts × 2 models × 9 elicitations = 648 elicitations</w:t>
      </w:r>
      <w:r>
        <w:rPr>
          <w:sz w:val="21"/>
          <w:szCs w:val="21"/>
        </w:rPr>
        <w:t xml:space="preserve">, which at the budgeted mean of 1.9 turns is approximately 1,230 API calls — 4.4% of the full elicitation.</w:t>
      </w:r>
    </w:p>
    <w:p>
      <w:pPr>
        <w:pStyle w:val="Heading2"/>
        <w:spacing w:after="140" w:before="280"/>
      </w:pPr>
      <w:r>
        <w:t xml:space="preserve">B.5  Reconstruction and coding</w:t>
      </w:r>
    </w:p>
    <w:p>
      <w:pPr>
        <w:spacing w:after="120" w:before="0" w:line="276"/>
      </w:pPr>
      <w:r>
        <w:rPr>
          <w:sz w:val="21"/>
          <w:szCs w:val="21"/>
        </w:rPr>
        <w:t xml:space="preserve">Automatic surfacing of category-denoting phrases runs on all 648 responses. Human double-coding runs on a stratified sample of 120: the design is 2 models × 3 languages × 2 arms = 12 cells, ten responses drawn per cell. The two coders and the adjudicator are the same people who will code the main study, so the pilot doubles as their training.</w:t>
      </w:r>
    </w:p>
    <w:p>
      <w:pPr>
        <w:spacing w:after="120" w:before="0" w:line="276"/>
      </w:pPr>
      <w:r>
        <w:rPr>
          <w:sz w:val="21"/>
          <w:szCs w:val="21"/>
        </w:rPr>
        <w:t xml:space="preserve">The codebook enters as v0.1 and leaves as v1.0. Disagreements are worked through in a single adjudication session and the asserted/attributed rule is rewritten against the cases that actually caused trouble, rather than against invented ones.</w:t>
      </w:r>
    </w:p>
    <w:p>
      <w:pPr>
        <w:spacing w:after="120" w:before="0" w:line="276"/>
      </w:pPr>
      <w:r>
        <w:rPr>
          <w:sz w:val="21"/>
          <w:szCs w:val="21"/>
        </w:rPr>
        <w:t xml:space="preserve">Krippendorff’s α is reported with a bootstrap confidence interval and read as a screen, not an estimate: at 120 units the interval is wide, and a point estimate quoted alone would overstate what the pilot can support.</w:t>
      </w:r>
    </w:p>
    <w:p>
      <w:pPr>
        <w:pStyle w:val="Heading2"/>
        <w:spacing w:after="140" w:before="280"/>
      </w:pPr>
      <w:r>
        <w:t xml:space="preserve">B.6  Measures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300"/>
      </w:tblGrid>
      <w:tr>
        <w:trPr>
          <w:tblHeader/>
        </w:trPr>
        <w:tc>
          <w:tcPr>
            <w:tcW w:type="dxa" w:w="2400"/>
            <w:shd w:fill="EFEFEF" w:color="auto" w:val="clear"/>
            <w:tcMar>
              <w:top w:type="dxa" w:w="60"/>
              <w:left w:type="dxa" w:w="90"/>
              <w:bottom w:type="dxa" w:w="60"/>
              <w:right w:type="dxa" w:w="90"/>
            </w:tcMar>
          </w:tcPr>
          <w:p>
            <w:pPr>
              <w:spacing w:after="40" w:line="240"/>
            </w:pPr>
            <w:r>
              <w:rPr>
                <w:b/>
                <w:bCs/>
                <w:sz w:val="19"/>
                <w:szCs w:val="19"/>
              </w:rPr>
              <w:t xml:space="preserve">Measure</w:t>
            </w:r>
          </w:p>
        </w:tc>
        <w:tc>
          <w:tcPr>
            <w:tcW w:type="dxa" w:w="4300"/>
            <w:shd w:fill="EFEFEF" w:color="auto" w:val="clear"/>
            <w:tcMar>
              <w:top w:type="dxa" w:w="60"/>
              <w:left w:type="dxa" w:w="90"/>
              <w:bottom w:type="dxa" w:w="60"/>
              <w:right w:type="dxa" w:w="90"/>
            </w:tcMar>
          </w:tcPr>
          <w:p>
            <w:pPr>
              <w:spacing w:after="40" w:line="240"/>
            </w:pPr>
            <w:r>
              <w:rPr>
                <w:b/>
                <w:bCs/>
                <w:sz w:val="19"/>
                <w:szCs w:val="19"/>
              </w:rPr>
              <w:t xml:space="preserve">Definition</w:t>
            </w:r>
          </w:p>
        </w:tc>
        <w:tc>
          <w:tcPr>
            <w:tcW w:type="dxa" w:w="2300"/>
            <w:shd w:fill="EFEFEF" w:color="auto" w:val="clear"/>
            <w:tcMar>
              <w:top w:type="dxa" w:w="60"/>
              <w:left w:type="dxa" w:w="90"/>
              <w:bottom w:type="dxa" w:w="60"/>
              <w:right w:type="dxa" w:w="90"/>
            </w:tcMar>
          </w:tcPr>
          <w:p>
            <w:pPr>
              <w:spacing w:after="40" w:line="240"/>
            </w:pPr>
            <w:r>
              <w:rPr>
                <w:b/>
                <w:bCs/>
                <w:sz w:val="19"/>
                <w:szCs w:val="19"/>
              </w:rPr>
              <w:t xml:space="preserve">What it decides</w:t>
            </w:r>
          </w:p>
        </w:tc>
      </w:tr>
      <w:tr>
        <w:tc>
          <w:tcPr>
            <w:tcW w:type="dxa" w:w="2400"/>
            <w:tcMar>
              <w:top w:type="dxa" w:w="60"/>
              <w:left w:type="dxa" w:w="90"/>
              <w:bottom w:type="dxa" w:w="60"/>
              <w:right w:type="dxa" w:w="90"/>
            </w:tcMar>
          </w:tcPr>
          <w:p>
            <w:pPr>
              <w:spacing w:after="40" w:line="240"/>
            </w:pPr>
            <w:r>
              <w:rPr>
                <w:b w:val="false"/>
                <w:bCs w:val="false"/>
                <w:sz w:val="19"/>
                <w:szCs w:val="19"/>
              </w:rPr>
              <w:t xml:space="preserve">Elicitation rate</w:t>
            </w:r>
          </w:p>
        </w:tc>
        <w:tc>
          <w:tcPr>
            <w:tcW w:type="dxa" w:w="4300"/>
            <w:tcMar>
              <w:top w:type="dxa" w:w="60"/>
              <w:left w:type="dxa" w:w="90"/>
              <w:bottom w:type="dxa" w:w="60"/>
              <w:right w:type="dxa" w:w="90"/>
            </w:tcMar>
          </w:tcPr>
          <w:p>
            <w:pPr>
              <w:spacing w:after="40" w:line="240"/>
            </w:pPr>
            <w:r>
              <w:rPr>
                <w:b w:val="false"/>
                <w:bCs w:val="false"/>
                <w:sz w:val="19"/>
                <w:szCs w:val="19"/>
              </w:rPr>
              <w:t xml:space="preserve">Share of responses containing at least one existence-entailing category phrase, per family</w:t>
            </w:r>
          </w:p>
        </w:tc>
        <w:tc>
          <w:tcPr>
            <w:tcW w:type="dxa" w:w="2300"/>
            <w:tcMar>
              <w:top w:type="dxa" w:w="60"/>
              <w:left w:type="dxa" w:w="90"/>
              <w:bottom w:type="dxa" w:w="60"/>
              <w:right w:type="dxa" w:w="90"/>
            </w:tcMar>
          </w:tcPr>
          <w:p>
            <w:pPr>
              <w:spacing w:after="40" w:line="240"/>
            </w:pPr>
            <w:r>
              <w:rPr>
                <w:b w:val="false"/>
                <w:bCs w:val="false"/>
                <w:sz w:val="19"/>
                <w:szCs w:val="19"/>
              </w:rPr>
              <w:t xml:space="preserve">Whether the family survives into the full bank</w:t>
            </w:r>
          </w:p>
        </w:tc>
      </w:tr>
      <w:tr>
        <w:tc>
          <w:tcPr>
            <w:tcW w:type="dxa" w:w="2400"/>
            <w:tcMar>
              <w:top w:type="dxa" w:w="60"/>
              <w:left w:type="dxa" w:w="90"/>
              <w:bottom w:type="dxa" w:w="60"/>
              <w:right w:type="dxa" w:w="90"/>
            </w:tcMar>
          </w:tcPr>
          <w:p>
            <w:pPr>
              <w:spacing w:after="40" w:line="240"/>
            </w:pPr>
            <w:r>
              <w:rPr>
                <w:b w:val="false"/>
                <w:bCs w:val="false"/>
                <w:sz w:val="19"/>
                <w:szCs w:val="19"/>
              </w:rPr>
              <w:t xml:space="preserve">Assertion asymmetry Δ</w:t>
            </w:r>
          </w:p>
        </w:tc>
        <w:tc>
          <w:tcPr>
            <w:tcW w:type="dxa" w:w="4300"/>
            <w:tcMar>
              <w:top w:type="dxa" w:w="60"/>
              <w:left w:type="dxa" w:w="90"/>
              <w:bottom w:type="dxa" w:w="60"/>
              <w:right w:type="dxa" w:w="90"/>
            </w:tcMar>
          </w:tcPr>
          <w:p>
            <w:pPr>
              <w:spacing w:after="40" w:line="240"/>
            </w:pPr>
            <w:r>
              <w:rPr>
                <w:b w:val="false"/>
                <w:bCs w:val="false"/>
                <w:sz w:val="19"/>
                <w:szCs w:val="19"/>
              </w:rPr>
              <w:t xml:space="preserve">Share asserted in the Indian arm minus share asserted in the matched control arm, computed per model and per language</w:t>
            </w:r>
          </w:p>
        </w:tc>
        <w:tc>
          <w:tcPr>
            <w:tcW w:type="dxa" w:w="2300"/>
            <w:tcMar>
              <w:top w:type="dxa" w:w="60"/>
              <w:left w:type="dxa" w:w="90"/>
              <w:bottom w:type="dxa" w:w="60"/>
              <w:right w:type="dxa" w:w="90"/>
            </w:tcMar>
          </w:tcPr>
          <w:p>
            <w:pPr>
              <w:spacing w:after="40" w:line="240"/>
            </w:pPr>
            <w:r>
              <w:rPr>
                <w:b w:val="false"/>
                <w:bCs w:val="false"/>
                <w:sz w:val="19"/>
                <w:szCs w:val="19"/>
              </w:rPr>
              <w:t xml:space="preserve">The pilot’s headline signal; the paper’s central claim in miniature</w:t>
            </w:r>
          </w:p>
        </w:tc>
      </w:tr>
      <w:tr>
        <w:tc>
          <w:tcPr>
            <w:tcW w:type="dxa" w:w="2400"/>
            <w:tcMar>
              <w:top w:type="dxa" w:w="60"/>
              <w:left w:type="dxa" w:w="90"/>
              <w:bottom w:type="dxa" w:w="60"/>
              <w:right w:type="dxa" w:w="90"/>
            </w:tcMar>
          </w:tcPr>
          <w:p>
            <w:pPr>
              <w:spacing w:after="40" w:line="240"/>
            </w:pPr>
            <w:r>
              <w:rPr>
                <w:b w:val="false"/>
                <w:bCs w:val="false"/>
                <w:sz w:val="19"/>
                <w:szCs w:val="19"/>
              </w:rPr>
              <w:t xml:space="preserve">Within-prompt stability p̂</w:t>
            </w:r>
          </w:p>
        </w:tc>
        <w:tc>
          <w:tcPr>
            <w:tcW w:type="dxa" w:w="4300"/>
            <w:tcMar>
              <w:top w:type="dxa" w:w="60"/>
              <w:left w:type="dxa" w:w="90"/>
              <w:bottom w:type="dxa" w:w="60"/>
              <w:right w:type="dxa" w:w="90"/>
            </w:tcMar>
          </w:tcPr>
          <w:p>
            <w:pPr>
              <w:spacing w:after="40" w:line="240"/>
            </w:pPr>
            <w:r>
              <w:rPr>
                <w:b w:val="false"/>
                <w:bCs w:val="false"/>
                <w:sz w:val="19"/>
                <w:szCs w:val="19"/>
              </w:rPr>
              <w:t xml:space="preserve">Recurrence of the modal category across the eight default-temperature samples</w:t>
            </w:r>
          </w:p>
        </w:tc>
        <w:tc>
          <w:tcPr>
            <w:tcW w:type="dxa" w:w="2300"/>
            <w:tcMar>
              <w:top w:type="dxa" w:w="60"/>
              <w:left w:type="dxa" w:w="90"/>
              <w:bottom w:type="dxa" w:w="60"/>
              <w:right w:type="dxa" w:w="90"/>
            </w:tcMar>
          </w:tcPr>
          <w:p>
            <w:pPr>
              <w:spacing w:after="40" w:line="240"/>
            </w:pPr>
            <w:r>
              <w:rPr>
                <w:b w:val="false"/>
                <w:bCs w:val="false"/>
                <w:sz w:val="19"/>
                <w:szCs w:val="19"/>
              </w:rPr>
              <w:t xml:space="preserve">Whether the 70% threshold sits in a dense region of the distribution, and whether n = 10 is enough</w:t>
            </w:r>
          </w:p>
        </w:tc>
      </w:tr>
      <w:tr>
        <w:tc>
          <w:tcPr>
            <w:tcW w:type="dxa" w:w="2400"/>
            <w:tcMar>
              <w:top w:type="dxa" w:w="60"/>
              <w:left w:type="dxa" w:w="90"/>
              <w:bottom w:type="dxa" w:w="60"/>
              <w:right w:type="dxa" w:w="90"/>
            </w:tcMar>
          </w:tcPr>
          <w:p>
            <w:pPr>
              <w:spacing w:after="40" w:line="240"/>
            </w:pPr>
            <w:r>
              <w:rPr>
                <w:b w:val="false"/>
                <w:bCs w:val="false"/>
                <w:sz w:val="19"/>
                <w:szCs w:val="19"/>
              </w:rPr>
              <w:t xml:space="preserve">Determinism match</w:t>
            </w:r>
          </w:p>
        </w:tc>
        <w:tc>
          <w:tcPr>
            <w:tcW w:type="dxa" w:w="4300"/>
            <w:tcMar>
              <w:top w:type="dxa" w:w="60"/>
              <w:left w:type="dxa" w:w="90"/>
              <w:bottom w:type="dxa" w:w="60"/>
              <w:right w:type="dxa" w:w="90"/>
            </w:tcMar>
          </w:tcPr>
          <w:p>
            <w:pPr>
              <w:spacing w:after="40" w:line="240"/>
            </w:pPr>
            <w:r>
              <w:rPr>
                <w:b w:val="false"/>
                <w:bCs w:val="false"/>
                <w:sz w:val="19"/>
                <w:szCs w:val="19"/>
              </w:rPr>
              <w:t xml:space="preserve">Share of prompts where the zero-temperature category matches the default-temperature mode</w:t>
            </w:r>
          </w:p>
        </w:tc>
        <w:tc>
          <w:tcPr>
            <w:tcW w:type="dxa" w:w="2300"/>
            <w:tcMar>
              <w:top w:type="dxa" w:w="60"/>
              <w:left w:type="dxa" w:w="90"/>
              <w:bottom w:type="dxa" w:w="60"/>
              <w:right w:type="dxa" w:w="90"/>
            </w:tcMar>
          </w:tcPr>
          <w:p>
            <w:pPr>
              <w:spacing w:after="40" w:line="240"/>
            </w:pPr>
            <w:r>
              <w:rPr>
                <w:b w:val="false"/>
                <w:bCs w:val="false"/>
                <w:sz w:val="19"/>
                <w:szCs w:val="19"/>
              </w:rPr>
              <w:t xml:space="preserve">Whether the determinism check is informative or redundant</w:t>
            </w:r>
          </w:p>
        </w:tc>
      </w:tr>
      <w:tr>
        <w:tc>
          <w:tcPr>
            <w:tcW w:type="dxa" w:w="2400"/>
            <w:tcMar>
              <w:top w:type="dxa" w:w="60"/>
              <w:left w:type="dxa" w:w="90"/>
              <w:bottom w:type="dxa" w:w="60"/>
              <w:right w:type="dxa" w:w="90"/>
            </w:tcMar>
          </w:tcPr>
          <w:p>
            <w:pPr>
              <w:spacing w:after="40" w:line="240"/>
            </w:pPr>
            <w:r>
              <w:rPr>
                <w:b w:val="false"/>
                <w:bCs w:val="false"/>
                <w:sz w:val="19"/>
                <w:szCs w:val="19"/>
              </w:rPr>
              <w:t xml:space="preserve">Language shift</w:t>
            </w:r>
          </w:p>
        </w:tc>
        <w:tc>
          <w:tcPr>
            <w:tcW w:type="dxa" w:w="4300"/>
            <w:tcMar>
              <w:top w:type="dxa" w:w="60"/>
              <w:left w:type="dxa" w:w="90"/>
              <w:bottom w:type="dxa" w:w="60"/>
              <w:right w:type="dxa" w:w="90"/>
            </w:tcMar>
          </w:tcPr>
          <w:p>
            <w:pPr>
              <w:spacing w:after="40" w:line="240"/>
            </w:pPr>
            <w:r>
              <w:rPr>
                <w:b w:val="false"/>
                <w:bCs w:val="false"/>
                <w:sz w:val="19"/>
                <w:szCs w:val="19"/>
              </w:rPr>
              <w:t xml:space="preserve">Change in Δ and in the reconstructed category set across English, Devanagari and Hinglish</w:t>
            </w:r>
          </w:p>
        </w:tc>
        <w:tc>
          <w:tcPr>
            <w:tcW w:type="dxa" w:w="2300"/>
            <w:tcMar>
              <w:top w:type="dxa" w:w="60"/>
              <w:left w:type="dxa" w:w="90"/>
              <w:bottom w:type="dxa" w:w="60"/>
              <w:right w:type="dxa" w:w="90"/>
            </w:tcMar>
          </w:tcPr>
          <w:p>
            <w:pPr>
              <w:spacing w:after="40" w:line="240"/>
            </w:pPr>
            <w:r>
              <w:rPr>
                <w:b w:val="false"/>
                <w:bCs w:val="false"/>
                <w:sz w:val="19"/>
                <w:szCs w:val="19"/>
              </w:rPr>
              <w:t xml:space="preserve">First evidence on RQ1; sets the expected effect size</w:t>
            </w:r>
          </w:p>
        </w:tc>
      </w:tr>
      <w:tr>
        <w:tc>
          <w:tcPr>
            <w:tcW w:type="dxa" w:w="2400"/>
            <w:tcMar>
              <w:top w:type="dxa" w:w="60"/>
              <w:left w:type="dxa" w:w="90"/>
              <w:bottom w:type="dxa" w:w="60"/>
              <w:right w:type="dxa" w:w="90"/>
            </w:tcMar>
          </w:tcPr>
          <w:p>
            <w:pPr>
              <w:spacing w:after="40" w:line="240"/>
            </w:pPr>
            <w:r>
              <w:rPr>
                <w:b w:val="false"/>
                <w:bCs w:val="false"/>
                <w:sz w:val="19"/>
                <w:szCs w:val="19"/>
              </w:rPr>
              <w:t xml:space="preserve">Unit cost and throughput</w:t>
            </w:r>
          </w:p>
        </w:tc>
        <w:tc>
          <w:tcPr>
            <w:tcW w:type="dxa" w:w="4300"/>
            <w:tcMar>
              <w:top w:type="dxa" w:w="60"/>
              <w:left w:type="dxa" w:w="90"/>
              <w:bottom w:type="dxa" w:w="60"/>
              <w:right w:type="dxa" w:w="90"/>
            </w:tcMar>
          </w:tcPr>
          <w:p>
            <w:pPr>
              <w:spacing w:after="40" w:line="240"/>
            </w:pPr>
            <w:r>
              <w:rPr>
                <w:b w:val="false"/>
                <w:bCs w:val="false"/>
                <w:sz w:val="19"/>
                <w:szCs w:val="19"/>
              </w:rPr>
              <w:t xml:space="preserve">Rupees and wall-clock time per elicitation</w:t>
            </w:r>
          </w:p>
        </w:tc>
        <w:tc>
          <w:tcPr>
            <w:tcW w:type="dxa" w:w="2300"/>
            <w:tcMar>
              <w:top w:type="dxa" w:w="60"/>
              <w:left w:type="dxa" w:w="90"/>
              <w:bottom w:type="dxa" w:w="60"/>
              <w:right w:type="dxa" w:w="90"/>
            </w:tcMar>
          </w:tcPr>
          <w:p>
            <w:pPr>
              <w:spacing w:after="40" w:line="240"/>
            </w:pPr>
            <w:r>
              <w:rPr>
                <w:b w:val="false"/>
                <w:bCs w:val="false"/>
                <w:sz w:val="19"/>
                <w:szCs w:val="19"/>
              </w:rPr>
              <w:t xml:space="preserve">Validates or corrects the ₹30,000 model-access line</w:t>
            </w:r>
          </w:p>
        </w:tc>
      </w:tr>
    </w:tbl>
    <w:p>
      <w:pPr>
        <w:spacing w:after="220" w:before="100"/>
      </w:pPr>
      <w:r>
        <w:rPr>
          <w:i/>
          <w:iCs/>
          <w:sz w:val="18"/>
          <w:szCs w:val="18"/>
        </w:rPr>
        <w:t xml:space="preserve">Table B.2: Pilot measures. All are instrument statistics; none is reported as a result about either model.</w:t>
      </w:r>
    </w:p>
    <w:p>
      <w:pPr>
        <w:spacing w:after="120" w:before="0" w:line="276"/>
      </w:pPr>
      <w:r>
        <w:rPr>
          <w:sz w:val="21"/>
          <w:szCs w:val="21"/>
        </w:rPr>
        <w:t xml:space="preserve">The stability measure is the one most likely to change the design. If the p̂ values cluster between 0.6 and 0.8, the 70% rule is adjudicating precisely where the evidence is thinnest, and eight or ten samples cannot separate a category that recurs at 0.65 from one that recurs at 0.75. In that case the full run either takes more samples per prompt or reports the threshold with an interval attached rather than as a bright line.</w:t>
      </w:r>
    </w:p>
    <w:p>
      <w:pPr>
        <w:pStyle w:val="Heading2"/>
        <w:spacing w:after="140" w:before="280"/>
      </w:pPr>
      <w:r>
        <w:t xml:space="preserve">B.7  Field mini-pilot</w:t>
      </w:r>
    </w:p>
    <w:p>
      <w:pPr>
        <w:spacing w:after="120" w:before="0" w:line="276"/>
      </w:pPr>
      <w:r>
        <w:rPr>
          <w:sz w:val="21"/>
          <w:szCs w:val="21"/>
        </w:rPr>
        <w:t xml:space="preserve">Two semi-structured interviews and one vignette walk-through with Hindi speakers, approximately forty-five minutes each, conducted at neither of the two study sites. Debugging an instrument costs goodwill, and the study sites should not be spent on it.</w:t>
      </w:r>
    </w:p>
    <w:p>
      <w:pPr>
        <w:spacing w:after="120" w:before="0" w:line="276"/>
      </w:pPr>
      <w:r>
        <w:rPr>
          <w:sz w:val="21"/>
          <w:szCs w:val="21"/>
        </w:rPr>
        <w:t xml:space="preserve">What is being tested: whether a probe written for an API can be asked of a person without sounding like a quiz; whether the medicine vignette prompts talk about the body rather than about doctors; how long transcription and translation of an hour of Hindi audio actually takes, against the twenty hours budgeted. No substantive claim is drawn from two interviews and none is reported.</w:t>
      </w:r>
    </w:p>
    <w:p>
      <w:pPr>
        <w:pStyle w:val="Heading2"/>
        <w:spacing w:after="140" w:before="280"/>
      </w:pPr>
      <w:r>
        <w:t xml:space="preserve">B.8  Stop / go rules</w:t>
      </w:r>
    </w:p>
    <w:p>
      <w:pPr>
        <w:spacing w:after="120" w:before="0" w:line="276"/>
      </w:pPr>
      <w:r>
        <w:rPr>
          <w:sz w:val="21"/>
          <w:szCs w:val="21"/>
        </w:rPr>
        <w:t xml:space="preserve">Fixed before the pilot is run, so that the full elicitation is not launched on a favourable reading of ambiguous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EFEFEF" w:color="auto" w:val="clear"/>
            <w:tcMar>
              <w:top w:type="dxa" w:w="60"/>
              <w:left w:type="dxa" w:w="90"/>
              <w:bottom w:type="dxa" w:w="60"/>
              <w:right w:type="dxa" w:w="90"/>
            </w:tcMar>
          </w:tcPr>
          <w:p>
            <w:pPr>
              <w:spacing w:after="40" w:line="240"/>
            </w:pPr>
            <w:r>
              <w:rPr>
                <w:b/>
                <w:bCs/>
                <w:sz w:val="19"/>
                <w:szCs w:val="19"/>
              </w:rPr>
              <w:t xml:space="preserve">Check</w:t>
            </w:r>
          </w:p>
        </w:tc>
        <w:tc>
          <w:tcPr>
            <w:tcW w:type="dxa" w:w="2200"/>
            <w:shd w:fill="EFEFEF" w:color="auto" w:val="clear"/>
            <w:tcMar>
              <w:top w:type="dxa" w:w="60"/>
              <w:left w:type="dxa" w:w="90"/>
              <w:bottom w:type="dxa" w:w="60"/>
              <w:right w:type="dxa" w:w="90"/>
            </w:tcMar>
          </w:tcPr>
          <w:p>
            <w:pPr>
              <w:spacing w:after="40" w:line="240"/>
            </w:pPr>
            <w:r>
              <w:rPr>
                <w:b/>
                <w:bCs/>
                <w:sz w:val="19"/>
                <w:szCs w:val="19"/>
              </w:rPr>
              <w:t xml:space="preserve">Threshold</w:t>
            </w:r>
          </w:p>
        </w:tc>
        <w:tc>
          <w:tcPr>
            <w:tcW w:type="dxa" w:w="4200"/>
            <w:shd w:fill="EFEFEF" w:color="auto" w:val="clear"/>
            <w:tcMar>
              <w:top w:type="dxa" w:w="60"/>
              <w:left w:type="dxa" w:w="90"/>
              <w:bottom w:type="dxa" w:w="60"/>
              <w:right w:type="dxa" w:w="90"/>
            </w:tcMar>
          </w:tcPr>
          <w:p>
            <w:pPr>
              <w:spacing w:after="40" w:line="240"/>
            </w:pPr>
            <w:r>
              <w:rPr>
                <w:b/>
                <w:bCs/>
                <w:sz w:val="19"/>
                <w:szCs w:val="19"/>
              </w:rPr>
              <w:t xml:space="preserve">If not met</w:t>
            </w:r>
          </w:p>
        </w:tc>
      </w:tr>
      <w:tr>
        <w:tc>
          <w:tcPr>
            <w:tcW w:type="dxa" w:w="2600"/>
            <w:tcMar>
              <w:top w:type="dxa" w:w="60"/>
              <w:left w:type="dxa" w:w="90"/>
              <w:bottom w:type="dxa" w:w="60"/>
              <w:right w:type="dxa" w:w="90"/>
            </w:tcMar>
          </w:tcPr>
          <w:p>
            <w:pPr>
              <w:spacing w:after="40" w:line="240"/>
            </w:pPr>
            <w:r>
              <w:rPr>
                <w:b w:val="false"/>
                <w:bCs w:val="false"/>
                <w:sz w:val="19"/>
                <w:szCs w:val="19"/>
              </w:rPr>
              <w:t xml:space="preserve">Elicitation rate</w:t>
            </w:r>
          </w:p>
        </w:tc>
        <w:tc>
          <w:tcPr>
            <w:tcW w:type="dxa" w:w="2200"/>
            <w:tcMar>
              <w:top w:type="dxa" w:w="60"/>
              <w:left w:type="dxa" w:w="90"/>
              <w:bottom w:type="dxa" w:w="60"/>
              <w:right w:type="dxa" w:w="90"/>
            </w:tcMar>
          </w:tcPr>
          <w:p>
            <w:pPr>
              <w:spacing w:after="40" w:line="240"/>
            </w:pPr>
            <w:r>
              <w:rPr>
                <w:b w:val="false"/>
                <w:bCs w:val="false"/>
                <w:sz w:val="19"/>
                <w:szCs w:val="19"/>
              </w:rPr>
              <w:t xml:space="preserve">≥ 0.6 per family</w:t>
            </w:r>
          </w:p>
        </w:tc>
        <w:tc>
          <w:tcPr>
            <w:tcW w:type="dxa" w:w="4200"/>
            <w:tcMar>
              <w:top w:type="dxa" w:w="60"/>
              <w:left w:type="dxa" w:w="90"/>
              <w:bottom w:type="dxa" w:w="60"/>
              <w:right w:type="dxa" w:w="90"/>
            </w:tcMar>
          </w:tcPr>
          <w:p>
            <w:pPr>
              <w:spacing w:after="40" w:line="240"/>
            </w:pPr>
            <w:r>
              <w:rPr>
                <w:b w:val="false"/>
                <w:bCs w:val="false"/>
                <w:sz w:val="19"/>
                <w:szCs w:val="19"/>
              </w:rPr>
              <w:t xml:space="preserve">Rewrite the family. A form that fails in both arms is dropped from all domains, not just this one</w:t>
            </w:r>
          </w:p>
        </w:tc>
      </w:tr>
      <w:tr>
        <w:tc>
          <w:tcPr>
            <w:tcW w:type="dxa" w:w="2600"/>
            <w:tcMar>
              <w:top w:type="dxa" w:w="60"/>
              <w:left w:type="dxa" w:w="90"/>
              <w:bottom w:type="dxa" w:w="60"/>
              <w:right w:type="dxa" w:w="90"/>
            </w:tcMar>
          </w:tcPr>
          <w:p>
            <w:pPr>
              <w:spacing w:after="40" w:line="240"/>
            </w:pPr>
            <w:r>
              <w:rPr>
                <w:b w:val="false"/>
                <w:bCs w:val="false"/>
                <w:sz w:val="19"/>
                <w:szCs w:val="19"/>
              </w:rPr>
              <w:t xml:space="preserve">Refusal or clarification-question rate</w:t>
            </w:r>
          </w:p>
        </w:tc>
        <w:tc>
          <w:tcPr>
            <w:tcW w:type="dxa" w:w="2200"/>
            <w:tcMar>
              <w:top w:type="dxa" w:w="60"/>
              <w:left w:type="dxa" w:w="90"/>
              <w:bottom w:type="dxa" w:w="60"/>
              <w:right w:type="dxa" w:w="90"/>
            </w:tcMar>
          </w:tcPr>
          <w:p>
            <w:pPr>
              <w:spacing w:after="40" w:line="240"/>
            </w:pPr>
            <w:r>
              <w:rPr>
                <w:b w:val="false"/>
                <w:bCs w:val="false"/>
                <w:sz w:val="19"/>
                <w:szCs w:val="19"/>
              </w:rPr>
              <w:t xml:space="preserve">≤ 0.10</w:t>
            </w:r>
          </w:p>
        </w:tc>
        <w:tc>
          <w:tcPr>
            <w:tcW w:type="dxa" w:w="4200"/>
            <w:tcMar>
              <w:top w:type="dxa" w:w="60"/>
              <w:left w:type="dxa" w:w="90"/>
              <w:bottom w:type="dxa" w:w="60"/>
              <w:right w:type="dxa" w:w="90"/>
            </w:tcMar>
          </w:tcPr>
          <w:p>
            <w:pPr>
              <w:spacing w:after="40" w:line="240"/>
            </w:pPr>
            <w:r>
              <w:rPr>
                <w:b w:val="false"/>
                <w:bCs w:val="false"/>
                <w:sz w:val="19"/>
                <w:szCs w:val="19"/>
              </w:rPr>
              <w:t xml:space="preserve">Reframe the probe; a model that asks what is meant is not committing to anything</w:t>
            </w:r>
          </w:p>
        </w:tc>
      </w:tr>
      <w:tr>
        <w:tc>
          <w:tcPr>
            <w:tcW w:type="dxa" w:w="2600"/>
            <w:tcMar>
              <w:top w:type="dxa" w:w="60"/>
              <w:left w:type="dxa" w:w="90"/>
              <w:bottom w:type="dxa" w:w="60"/>
              <w:right w:type="dxa" w:w="90"/>
            </w:tcMar>
          </w:tcPr>
          <w:p>
            <w:pPr>
              <w:spacing w:after="40" w:line="240"/>
            </w:pPr>
            <w:r>
              <w:rPr>
                <w:b w:val="false"/>
                <w:bCs w:val="false"/>
                <w:sz w:val="19"/>
                <w:szCs w:val="19"/>
              </w:rPr>
              <w:t xml:space="preserve">Krippendorff’s α (screen)</w:t>
            </w:r>
          </w:p>
        </w:tc>
        <w:tc>
          <w:tcPr>
            <w:tcW w:type="dxa" w:w="2200"/>
            <w:tcMar>
              <w:top w:type="dxa" w:w="60"/>
              <w:left w:type="dxa" w:w="90"/>
              <w:bottom w:type="dxa" w:w="60"/>
              <w:right w:type="dxa" w:w="90"/>
            </w:tcMar>
          </w:tcPr>
          <w:p>
            <w:pPr>
              <w:spacing w:after="40" w:line="240"/>
            </w:pPr>
            <w:r>
              <w:rPr>
                <w:b w:val="false"/>
                <w:bCs w:val="false"/>
                <w:sz w:val="19"/>
                <w:szCs w:val="19"/>
              </w:rPr>
              <w:t xml:space="preserve">≥ 0.67</w:t>
            </w:r>
          </w:p>
        </w:tc>
        <w:tc>
          <w:tcPr>
            <w:tcW w:type="dxa" w:w="4200"/>
            <w:tcMar>
              <w:top w:type="dxa" w:w="60"/>
              <w:left w:type="dxa" w:w="90"/>
              <w:bottom w:type="dxa" w:w="60"/>
              <w:right w:type="dxa" w:w="90"/>
            </w:tcMar>
          </w:tcPr>
          <w:p>
            <w:pPr>
              <w:spacing w:after="40" w:line="240"/>
            </w:pPr>
            <w:r>
              <w:rPr>
                <w:b w:val="false"/>
                <w:bCs w:val="false"/>
                <w:sz w:val="19"/>
                <w:szCs w:val="19"/>
              </w:rPr>
              <w:t xml:space="preserve">Second codebook revision and retraining before Month 4; the full double-coding budget is not released until it clears</w:t>
            </w:r>
          </w:p>
        </w:tc>
      </w:tr>
      <w:tr>
        <w:tc>
          <w:tcPr>
            <w:tcW w:type="dxa" w:w="2600"/>
            <w:tcMar>
              <w:top w:type="dxa" w:w="60"/>
              <w:left w:type="dxa" w:w="90"/>
              <w:bottom w:type="dxa" w:w="60"/>
              <w:right w:type="dxa" w:w="90"/>
            </w:tcMar>
          </w:tcPr>
          <w:p>
            <w:pPr>
              <w:spacing w:after="40" w:line="240"/>
            </w:pPr>
            <w:r>
              <w:rPr>
                <w:b w:val="false"/>
                <w:bCs w:val="false"/>
                <w:sz w:val="19"/>
                <w:szCs w:val="19"/>
              </w:rPr>
              <w:t xml:space="preserve">Assertion asymmetry Δ</w:t>
            </w:r>
          </w:p>
        </w:tc>
        <w:tc>
          <w:tcPr>
            <w:tcW w:type="dxa" w:w="2200"/>
            <w:tcMar>
              <w:top w:type="dxa" w:w="60"/>
              <w:left w:type="dxa" w:w="90"/>
              <w:bottom w:type="dxa" w:w="60"/>
              <w:right w:type="dxa" w:w="90"/>
            </w:tcMar>
          </w:tcPr>
          <w:p>
            <w:pPr>
              <w:spacing w:after="40" w:line="240"/>
            </w:pPr>
            <w:r>
              <w:rPr>
                <w:b w:val="false"/>
                <w:bCs w:val="false"/>
                <w:sz w:val="19"/>
                <w:szCs w:val="19"/>
              </w:rPr>
              <w:t xml:space="preserve">Reported, not gated</w:t>
            </w:r>
          </w:p>
        </w:tc>
        <w:tc>
          <w:tcPr>
            <w:tcW w:type="dxa" w:w="4200"/>
            <w:tcMar>
              <w:top w:type="dxa" w:w="60"/>
              <w:left w:type="dxa" w:w="90"/>
              <w:bottom w:type="dxa" w:w="60"/>
              <w:right w:type="dxa" w:w="90"/>
            </w:tcMar>
          </w:tcPr>
          <w:p>
            <w:pPr>
              <w:spacing w:after="40" w:line="240"/>
            </w:pPr>
            <w:r>
              <w:rPr>
                <w:b w:val="false"/>
                <w:bCs w:val="false"/>
                <w:sz w:val="19"/>
                <w:szCs w:val="19"/>
              </w:rPr>
              <w:t xml:space="preserve">A Δ near zero is a finding, not a failure — but confirm first that the codebook is not collapsing the distinction</w:t>
            </w:r>
          </w:p>
        </w:tc>
      </w:tr>
      <w:tr>
        <w:tc>
          <w:tcPr>
            <w:tcW w:type="dxa" w:w="2600"/>
            <w:tcMar>
              <w:top w:type="dxa" w:w="60"/>
              <w:left w:type="dxa" w:w="90"/>
              <w:bottom w:type="dxa" w:w="60"/>
              <w:right w:type="dxa" w:w="90"/>
            </w:tcMar>
          </w:tcPr>
          <w:p>
            <w:pPr>
              <w:spacing w:after="40" w:line="240"/>
            </w:pPr>
            <w:r>
              <w:rPr>
                <w:b w:val="false"/>
                <w:bCs w:val="false"/>
                <w:sz w:val="19"/>
                <w:szCs w:val="19"/>
              </w:rPr>
              <w:t xml:space="preserve">Unit cost</w:t>
            </w:r>
          </w:p>
        </w:tc>
        <w:tc>
          <w:tcPr>
            <w:tcW w:type="dxa" w:w="2200"/>
            <w:tcMar>
              <w:top w:type="dxa" w:w="60"/>
              <w:left w:type="dxa" w:w="90"/>
              <w:bottom w:type="dxa" w:w="60"/>
              <w:right w:type="dxa" w:w="90"/>
            </w:tcMar>
          </w:tcPr>
          <w:p>
            <w:pPr>
              <w:spacing w:after="40" w:line="240"/>
            </w:pPr>
            <w:r>
              <w:rPr>
                <w:b w:val="false"/>
                <w:bCs w:val="false"/>
                <w:sz w:val="19"/>
                <w:szCs w:val="19"/>
              </w:rPr>
              <w:t xml:space="preserve">≤ ₹1 per elicitation</w:t>
            </w:r>
          </w:p>
        </w:tc>
        <w:tc>
          <w:tcPr>
            <w:tcW w:type="dxa" w:w="4200"/>
            <w:tcMar>
              <w:top w:type="dxa" w:w="60"/>
              <w:left w:type="dxa" w:w="90"/>
              <w:bottom w:type="dxa" w:w="60"/>
              <w:right w:type="dxa" w:w="90"/>
            </w:tcMar>
          </w:tcPr>
          <w:p>
            <w:pPr>
              <w:spacing w:after="40" w:line="240"/>
            </w:pPr>
            <w:r>
              <w:rPr>
                <w:b w:val="false"/>
                <w:bCs w:val="false"/>
                <w:sz w:val="19"/>
                <w:szCs w:val="19"/>
              </w:rPr>
              <w:t xml:space="preserve">Reduce paraphrases from five to three, or defer the open-weights control to a later phase</w:t>
            </w:r>
          </w:p>
        </w:tc>
      </w:tr>
    </w:tbl>
    <w:p>
      <w:pPr>
        <w:spacing w:after="220" w:before="100"/>
      </w:pPr>
      <w:r>
        <w:rPr>
          <w:i/>
          <w:iCs/>
          <w:sz w:val="18"/>
          <w:szCs w:val="18"/>
        </w:rPr>
        <w:t xml:space="preserve">Table B.3: Pre-registered decision rules.</w:t>
      </w:r>
    </w:p>
    <w:p>
      <w:pPr>
        <w:pStyle w:val="Heading2"/>
        <w:spacing w:after="140" w:before="280"/>
      </w:pPr>
      <w:r>
        <w:t xml:space="preserve">B.9  What the pilot returns to the main design</w:t>
      </w:r>
    </w:p>
    <w:p>
      <w:pPr>
        <w:pStyle w:val="ListParagraph"/>
        <w:numPr>
          <w:ilvl w:val="0"/>
          <w:numId w:val="1"/>
        </w:numPr>
        <w:spacing w:after="90" w:line="276"/>
      </w:pPr>
      <w:r>
        <w:rPr>
          <w:sz w:val="21"/>
          <w:szCs w:val="21"/>
        </w:rPr>
        <w:t xml:space="preserve">Probe bank v0.9 for the medicine domain — 36 prompts, three languages, with the failed families recorded alongside the surviving ones.</w:t>
      </w:r>
    </w:p>
    <w:p>
      <w:pPr>
        <w:pStyle w:val="ListParagraph"/>
        <w:numPr>
          <w:ilvl w:val="0"/>
          <w:numId w:val="1"/>
        </w:numPr>
        <w:spacing w:after="90" w:line="276"/>
      </w:pPr>
      <w:r>
        <w:rPr>
          <w:sz w:val="21"/>
          <w:szCs w:val="21"/>
        </w:rPr>
        <w:t xml:space="preserve">Codebook v1.0, with the asserted/attributed rule rewritten against real disputed cases.</w:t>
      </w:r>
    </w:p>
    <w:p>
      <w:pPr>
        <w:pStyle w:val="ListParagraph"/>
        <w:numPr>
          <w:ilvl w:val="0"/>
          <w:numId w:val="1"/>
        </w:numPr>
        <w:spacing w:after="90" w:line="276"/>
      </w:pPr>
      <w:r>
        <w:rPr>
          <w:sz w:val="21"/>
          <w:szCs w:val="21"/>
        </w:rPr>
        <w:t xml:space="preserve">Runner and log schema, verified end to end, including version-string capture across a model update if one occurs during the window.</w:t>
      </w:r>
    </w:p>
    <w:p>
      <w:pPr>
        <w:pStyle w:val="ListParagraph"/>
        <w:numPr>
          <w:ilvl w:val="0"/>
          <w:numId w:val="1"/>
        </w:numPr>
        <w:spacing w:after="90" w:line="276"/>
      </w:pPr>
      <w:r>
        <w:rPr>
          <w:sz w:val="21"/>
          <w:szCs w:val="21"/>
        </w:rPr>
        <w:t xml:space="preserve">One OWL fragment — the medicine ontology reconstructed from a single model in a single language — as a format and tooling test before six reconstructions are attempted.</w:t>
      </w:r>
    </w:p>
    <w:p>
      <w:pPr>
        <w:pStyle w:val="ListParagraph"/>
        <w:numPr>
          <w:ilvl w:val="0"/>
          <w:numId w:val="1"/>
        </w:numPr>
        <w:spacing w:after="90" w:line="276"/>
      </w:pPr>
      <w:r>
        <w:rPr>
          <w:sz w:val="21"/>
          <w:szCs w:val="21"/>
        </w:rPr>
        <w:t xml:space="preserve">A revised sample-size and threshold calculation replacing the stipulated n = 10 and 70%.</w:t>
      </w:r>
    </w:p>
    <w:p>
      <w:pPr>
        <w:pStyle w:val="ListParagraph"/>
        <w:numPr>
          <w:ilvl w:val="0"/>
          <w:numId w:val="1"/>
        </w:numPr>
        <w:spacing w:after="90" w:line="276"/>
      </w:pPr>
      <w:r>
        <w:rPr>
          <w:b/>
          <w:bCs/>
          <w:sz w:val="21"/>
          <w:szCs w:val="21"/>
        </w:rPr>
        <w:t xml:space="preserve">A resolution of the probe-form count. </w:t>
      </w:r>
      <w:r>
        <w:rPr>
          <w:sz w:val="21"/>
          <w:szCs w:val="21"/>
        </w:rPr>
        <w:t xml:space="preserve">The methodology names five probe forms and lists four, and classification and paired-frame are not clearly distinct — the paired frame is arguably just the matched-control arm of the classification family. The pilot holds paired-frame back for exactly this reason: if the classification pair already yields Δ, the fifth form is redundant and the bank drops from 450 prompts to 360.</w:t>
      </w:r>
    </w:p>
    <w:p>
      <w:pPr>
        <w:pStyle w:val="Heading2"/>
        <w:spacing w:after="140" w:before="280"/>
      </w:pPr>
      <w:r>
        <w:t xml:space="preserve">B.10  Cost</w:t>
      </w:r>
    </w:p>
    <w:p>
      <w:pPr>
        <w:spacing w:after="120" w:before="0" w:line="276"/>
      </w:pPr>
      <w:r>
        <w:rPr>
          <w:sz w:val="21"/>
          <w:szCs w:val="21"/>
        </w:rPr>
        <w:t xml:space="preserve">Drawn from existing lines; the pilot adds nothing to the total.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00"/>
      </w:tblGrid>
      <w:tr>
        <w:trPr>
          <w:tblHeader/>
        </w:trPr>
        <w:tc>
          <w:tcPr>
            <w:tcW w:type="dxa" w:w="3000"/>
            <w:shd w:fill="EFEFEF" w:color="auto" w:val="clear"/>
            <w:tcMar>
              <w:top w:type="dxa" w:w="60"/>
              <w:left w:type="dxa" w:w="90"/>
              <w:bottom w:type="dxa" w:w="60"/>
              <w:right w:type="dxa" w:w="90"/>
            </w:tcMar>
          </w:tcPr>
          <w:p>
            <w:pPr>
              <w:spacing w:after="40" w:line="240"/>
            </w:pPr>
            <w:r>
              <w:rPr>
                <w:b/>
                <w:bCs/>
                <w:sz w:val="19"/>
                <w:szCs w:val="19"/>
              </w:rPr>
              <w:t xml:space="preserve">Line</w:t>
            </w:r>
          </w:p>
        </w:tc>
        <w:tc>
          <w:tcPr>
            <w:tcW w:type="dxa" w:w="1600"/>
            <w:shd w:fill="EFEFEF" w:color="auto" w:val="clear"/>
            <w:tcMar>
              <w:top w:type="dxa" w:w="60"/>
              <w:left w:type="dxa" w:w="90"/>
              <w:bottom w:type="dxa" w:w="60"/>
              <w:right w:type="dxa" w:w="90"/>
            </w:tcMar>
          </w:tcPr>
          <w:p>
            <w:pPr>
              <w:spacing w:after="40" w:line="240"/>
            </w:pPr>
            <w:r>
              <w:rPr>
                <w:b/>
                <w:bCs/>
                <w:sz w:val="19"/>
                <w:szCs w:val="19"/>
              </w:rPr>
              <w:t xml:space="preserve">Amount (₹)</w:t>
            </w:r>
          </w:p>
        </w:tc>
        <w:tc>
          <w:tcPr>
            <w:tcW w:type="dxa" w:w="4400"/>
            <w:shd w:fill="EFEFEF" w:color="auto" w:val="clear"/>
            <w:tcMar>
              <w:top w:type="dxa" w:w="60"/>
              <w:left w:type="dxa" w:w="90"/>
              <w:bottom w:type="dxa" w:w="60"/>
              <w:right w:type="dxa" w:w="90"/>
            </w:tcMar>
          </w:tcPr>
          <w:p>
            <w:pPr>
              <w:spacing w:after="40" w:line="240"/>
            </w:pPr>
            <w:r>
              <w:rPr>
                <w:b/>
                <w:bCs/>
                <w:sz w:val="19"/>
                <w:szCs w:val="19"/>
              </w:rPr>
              <w:t xml:space="preserve">Basis</w:t>
            </w:r>
          </w:p>
        </w:tc>
      </w:tr>
      <w:tr>
        <w:tc>
          <w:tcPr>
            <w:tcW w:type="dxa" w:w="3000"/>
            <w:tcMar>
              <w:top w:type="dxa" w:w="60"/>
              <w:left w:type="dxa" w:w="90"/>
              <w:bottom w:type="dxa" w:w="60"/>
              <w:right w:type="dxa" w:w="90"/>
            </w:tcMar>
          </w:tcPr>
          <w:p>
            <w:pPr>
              <w:spacing w:after="40" w:line="240"/>
            </w:pPr>
            <w:r>
              <w:rPr>
                <w:b w:val="false"/>
                <w:bCs w:val="false"/>
                <w:sz w:val="19"/>
                <w:szCs w:val="19"/>
              </w:rPr>
              <w:t xml:space="preserve">Model access</w:t>
            </w:r>
          </w:p>
        </w:tc>
        <w:tc>
          <w:tcPr>
            <w:tcW w:type="dxa" w:w="1600"/>
            <w:tcMar>
              <w:top w:type="dxa" w:w="60"/>
              <w:left w:type="dxa" w:w="90"/>
              <w:bottom w:type="dxa" w:w="60"/>
              <w:right w:type="dxa" w:w="90"/>
            </w:tcMar>
          </w:tcPr>
          <w:p>
            <w:pPr>
              <w:spacing w:after="40" w:line="240"/>
            </w:pPr>
            <w:r>
              <w:rPr>
                <w:b w:val="false"/>
                <w:bCs w:val="false"/>
                <w:sz w:val="19"/>
                <w:szCs w:val="19"/>
              </w:rPr>
              <w:t xml:space="preserve">1,200</w:t>
            </w:r>
          </w:p>
        </w:tc>
        <w:tc>
          <w:tcPr>
            <w:tcW w:type="dxa" w:w="4400"/>
            <w:tcMar>
              <w:top w:type="dxa" w:w="60"/>
              <w:left w:type="dxa" w:w="90"/>
              <w:bottom w:type="dxa" w:w="60"/>
              <w:right w:type="dxa" w:w="90"/>
            </w:tcMar>
          </w:tcPr>
          <w:p>
            <w:pPr>
              <w:spacing w:after="40" w:line="240"/>
            </w:pPr>
            <w:r>
              <w:rPr>
                <w:b w:val="false"/>
                <w:bCs w:val="false"/>
                <w:sz w:val="19"/>
                <w:szCs w:val="19"/>
              </w:rPr>
              <w:t xml:space="preserve">≈1,230 calls at the budgeted rate of ₹0.91 per call</w:t>
            </w:r>
          </w:p>
        </w:tc>
      </w:tr>
      <w:tr>
        <w:tc>
          <w:tcPr>
            <w:tcW w:type="dxa" w:w="3000"/>
            <w:tcMar>
              <w:top w:type="dxa" w:w="60"/>
              <w:left w:type="dxa" w:w="90"/>
              <w:bottom w:type="dxa" w:w="60"/>
              <w:right w:type="dxa" w:w="90"/>
            </w:tcMar>
          </w:tcPr>
          <w:p>
            <w:pPr>
              <w:spacing w:after="40" w:line="240"/>
            </w:pPr>
            <w:r>
              <w:rPr>
                <w:b w:val="false"/>
                <w:bCs w:val="false"/>
                <w:sz w:val="19"/>
                <w:szCs w:val="19"/>
              </w:rPr>
              <w:t xml:space="preserve">Annotation honoraria</w:t>
            </w:r>
          </w:p>
        </w:tc>
        <w:tc>
          <w:tcPr>
            <w:tcW w:type="dxa" w:w="1600"/>
            <w:tcMar>
              <w:top w:type="dxa" w:w="60"/>
              <w:left w:type="dxa" w:w="90"/>
              <w:bottom w:type="dxa" w:w="60"/>
              <w:right w:type="dxa" w:w="90"/>
            </w:tcMar>
          </w:tcPr>
          <w:p>
            <w:pPr>
              <w:spacing w:after="40" w:line="240"/>
            </w:pPr>
            <w:r>
              <w:rPr>
                <w:b w:val="false"/>
                <w:bCs w:val="false"/>
                <w:sz w:val="19"/>
                <w:szCs w:val="19"/>
              </w:rPr>
              <w:t xml:space="preserve">3,500</w:t>
            </w:r>
          </w:p>
        </w:tc>
        <w:tc>
          <w:tcPr>
            <w:tcW w:type="dxa" w:w="4400"/>
            <w:tcMar>
              <w:top w:type="dxa" w:w="60"/>
              <w:left w:type="dxa" w:w="90"/>
              <w:bottom w:type="dxa" w:w="60"/>
              <w:right w:type="dxa" w:w="90"/>
            </w:tcMar>
          </w:tcPr>
          <w:p>
            <w:pPr>
              <w:spacing w:after="40" w:line="240"/>
            </w:pPr>
            <w:r>
              <w:rPr>
                <w:b w:val="false"/>
                <w:bCs w:val="false"/>
                <w:sz w:val="19"/>
                <w:szCs w:val="19"/>
              </w:rPr>
              <w:t xml:space="preserve">120 responses double-coded plus adjudication and codebook revision — about 15 coder-hours, slower than the main-run rate because the codebook is being built</w:t>
            </w:r>
          </w:p>
        </w:tc>
      </w:tr>
      <w:tr>
        <w:tc>
          <w:tcPr>
            <w:tcW w:type="dxa" w:w="3000"/>
            <w:tcMar>
              <w:top w:type="dxa" w:w="60"/>
              <w:left w:type="dxa" w:w="90"/>
              <w:bottom w:type="dxa" w:w="60"/>
              <w:right w:type="dxa" w:w="90"/>
            </w:tcMar>
          </w:tcPr>
          <w:p>
            <w:pPr>
              <w:spacing w:after="40" w:line="240"/>
            </w:pPr>
            <w:r>
              <w:rPr>
                <w:b w:val="false"/>
                <w:bCs w:val="false"/>
                <w:sz w:val="19"/>
                <w:szCs w:val="19"/>
              </w:rPr>
              <w:t xml:space="preserve">Participant honoraria and transcription</w:t>
            </w:r>
          </w:p>
        </w:tc>
        <w:tc>
          <w:tcPr>
            <w:tcW w:type="dxa" w:w="1600"/>
            <w:tcMar>
              <w:top w:type="dxa" w:w="60"/>
              <w:left w:type="dxa" w:w="90"/>
              <w:bottom w:type="dxa" w:w="60"/>
              <w:right w:type="dxa" w:w="90"/>
            </w:tcMar>
          </w:tcPr>
          <w:p>
            <w:pPr>
              <w:spacing w:after="40" w:line="240"/>
            </w:pPr>
            <w:r>
              <w:rPr>
                <w:b w:val="false"/>
                <w:bCs w:val="false"/>
                <w:sz w:val="19"/>
                <w:szCs w:val="19"/>
              </w:rPr>
              <w:t xml:space="preserve">1,500</w:t>
            </w:r>
          </w:p>
        </w:tc>
        <w:tc>
          <w:tcPr>
            <w:tcW w:type="dxa" w:w="4400"/>
            <w:tcMar>
              <w:top w:type="dxa" w:w="60"/>
              <w:left w:type="dxa" w:w="90"/>
              <w:bottom w:type="dxa" w:w="60"/>
              <w:right w:type="dxa" w:w="90"/>
            </w:tcMar>
          </w:tcPr>
          <w:p>
            <w:pPr>
              <w:spacing w:after="40" w:line="240"/>
            </w:pPr>
            <w:r>
              <w:rPr>
                <w:b w:val="false"/>
                <w:bCs w:val="false"/>
                <w:sz w:val="19"/>
                <w:szCs w:val="19"/>
              </w:rPr>
              <w:t xml:space="preserve">Two interviews and one vignette session; roughly two hours of audio</w:t>
            </w:r>
          </w:p>
        </w:tc>
      </w:tr>
      <w:tr>
        <w:tc>
          <w:tcPr>
            <w:tcW w:type="dxa" w:w="3000"/>
            <w:tcMar>
              <w:top w:type="dxa" w:w="60"/>
              <w:left w:type="dxa" w:w="90"/>
              <w:bottom w:type="dxa" w:w="60"/>
              <w:right w:type="dxa" w:w="90"/>
            </w:tcMar>
          </w:tcPr>
          <w:p>
            <w:pPr>
              <w:spacing w:after="40" w:line="240"/>
            </w:pPr>
            <w:r>
              <w:rPr>
                <w:b w:val="false"/>
                <w:bCs w:val="false"/>
                <w:sz w:val="19"/>
                <w:szCs w:val="19"/>
              </w:rPr>
              <w:t xml:space="preserve">Legal consultation</w:t>
            </w:r>
          </w:p>
        </w:tc>
        <w:tc>
          <w:tcPr>
            <w:tcW w:type="dxa" w:w="1600"/>
            <w:tcMar>
              <w:top w:type="dxa" w:w="60"/>
              <w:left w:type="dxa" w:w="90"/>
              <w:bottom w:type="dxa" w:w="60"/>
              <w:right w:type="dxa" w:w="90"/>
            </w:tcMar>
          </w:tcPr>
          <w:p>
            <w:pPr>
              <w:spacing w:after="40" w:line="240"/>
            </w:pPr>
            <w:r>
              <w:rPr>
                <w:b w:val="false"/>
                <w:bCs w:val="false"/>
                <w:sz w:val="19"/>
                <w:szCs w:val="19"/>
              </w:rPr>
              <w:t xml:space="preserve">3,000</w:t>
            </w:r>
          </w:p>
        </w:tc>
        <w:tc>
          <w:tcPr>
            <w:tcW w:type="dxa" w:w="4400"/>
            <w:tcMar>
              <w:top w:type="dxa" w:w="60"/>
              <w:left w:type="dxa" w:w="90"/>
              <w:bottom w:type="dxa" w:w="60"/>
              <w:right w:type="dxa" w:w="90"/>
            </w:tcMar>
          </w:tcPr>
          <w:p>
            <w:pPr>
              <w:spacing w:after="40" w:line="240"/>
            </w:pPr>
            <w:r>
              <w:rPr>
                <w:b w:val="false"/>
                <w:bCs w:val="false"/>
                <w:sz w:val="19"/>
                <w:szCs w:val="19"/>
              </w:rPr>
              <w:t xml:space="preserve">First session with the law researcher to fix the statutory baseline for the medicine domain</w:t>
            </w:r>
          </w:p>
        </w:tc>
      </w:tr>
      <w:tr>
        <w:tc>
          <w:tcPr>
            <w:tcW w:type="dxa" w:w="3000"/>
            <w:tcMar>
              <w:top w:type="dxa" w:w="60"/>
              <w:left w:type="dxa" w:w="90"/>
              <w:bottom w:type="dxa" w:w="60"/>
              <w:right w:type="dxa" w:w="90"/>
            </w:tcMar>
          </w:tcPr>
          <w:p>
            <w:pPr>
              <w:spacing w:after="40" w:line="240"/>
            </w:pPr>
            <w:r>
              <w:rPr>
                <w:b w:val="false"/>
                <w:bCs w:val="false"/>
                <w:sz w:val="19"/>
                <w:szCs w:val="19"/>
              </w:rPr>
              <w:t xml:space="preserve">Total</w:t>
            </w:r>
          </w:p>
        </w:tc>
        <w:tc>
          <w:tcPr>
            <w:tcW w:type="dxa" w:w="1600"/>
            <w:tcMar>
              <w:top w:type="dxa" w:w="60"/>
              <w:left w:type="dxa" w:w="90"/>
              <w:bottom w:type="dxa" w:w="60"/>
              <w:right w:type="dxa" w:w="90"/>
            </w:tcMar>
          </w:tcPr>
          <w:p>
            <w:pPr>
              <w:spacing w:after="40" w:line="240"/>
            </w:pPr>
            <w:r>
              <w:rPr>
                <w:b w:val="false"/>
                <w:bCs w:val="false"/>
                <w:sz w:val="19"/>
                <w:szCs w:val="19"/>
              </w:rPr>
              <w:t xml:space="preserve">≈ 9,200</w:t>
            </w:r>
          </w:p>
        </w:tc>
        <w:tc>
          <w:tcPr>
            <w:tcW w:type="dxa" w:w="4400"/>
            <w:tcMar>
              <w:top w:type="dxa" w:w="60"/>
              <w:left w:type="dxa" w:w="90"/>
              <w:bottom w:type="dxa" w:w="60"/>
              <w:right w:type="dxa" w:w="90"/>
            </w:tcMar>
          </w:tcPr>
          <w:p>
            <w:pPr>
              <w:spacing w:after="40" w:line="240"/>
            </w:pPr>
            <w:r>
              <w:rPr>
                <w:b w:val="false"/>
                <w:bCs w:val="false"/>
                <w:sz w:val="19"/>
                <w:szCs w:val="19"/>
              </w:rPr>
              <w:t xml:space="preserve">4.6% of the project budget, spent before the largest lines are committed</w:t>
            </w:r>
          </w:p>
        </w:tc>
      </w:tr>
    </w:tbl>
    <w:p>
      <w:pPr>
        <w:pStyle w:val="Heading2"/>
        <w:spacing w:after="140" w:before="280"/>
      </w:pPr>
      <w:r>
        <w:t xml:space="preserve">B.11  Limits</w:t>
      </w:r>
    </w:p>
    <w:p>
      <w:pPr>
        <w:spacing w:after="120" w:before="0" w:line="276"/>
      </w:pPr>
      <w:r>
        <w:rPr>
          <w:sz w:val="21"/>
          <w:szCs w:val="21"/>
        </w:rPr>
        <w:t xml:space="preserve">648 elicitations in one domain cannot support a comparison between Sarvam and GPT, and none is offered. Two paraphrases cannot separate a paraphrase effect from a language effect. An α computed on 120 units is a screen. Two interviews characterise no site.</w:t>
      </w:r>
    </w:p>
    <w:p>
      <w:pPr>
        <w:spacing w:after="120" w:before="0" w:line="276"/>
      </w:pPr>
      <w:r>
        <w:rPr>
          <w:sz w:val="21"/>
          <w:szCs w:val="21"/>
        </w:rPr>
        <w:t xml:space="preserve">Pilot elicitations are excluded from the main analysis rather than pooled into it. The instrument is being tuned on this data, and data used to tune an instrument cannot afterwards be reported as a result obtained with it.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7"/>
        <w:szCs w:val="17"/>
      </w:rPr>
      <w:t xml:space="preserve">Appendix B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rFonts w:ascii="Calibri" w:cs="Calibri" w:eastAsia="Calibri" w:hAnsi="Calibri"/>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2026-08-13T06:47:04.428Z</dcterms:created>
  <dcterms:modified xsi:type="dcterms:W3CDTF">2026-08-13T06:47:04.443Z</dcterms:modified>
</cp:coreProperties>
</file>

<file path=docProps/custom.xml><?xml version="1.0" encoding="utf-8"?>
<Properties xmlns="http://schemas.openxmlformats.org/officeDocument/2006/custom-properties" xmlns:vt="http://schemas.openxmlformats.org/officeDocument/2006/docPropsVTypes"/>
</file>