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Nirmala UI" w:hAnsi="Calibri"/>
          <w:b/>
          <w:bCs/>
          <w:sz w:val="28"/>
          <w:szCs w:val="28"/>
        </w:rPr>
        <w:t xml:space="preserve">Appendix C — Probe Bank v0.9</w:t>
      </w:r>
    </w:p>
    <w:p>
      <w:pPr>
        <w:spacing w:after="200"/>
      </w:pPr>
      <w:r>
        <w:rPr>
          <w:rFonts w:ascii="Calibri" w:cs="Nirmala UI" w:hAnsi="Calibri"/>
          <w:i/>
          <w:iCs/>
          <w:sz w:val="22"/>
          <w:szCs w:val="22"/>
        </w:rPr>
        <w:t xml:space="preserve">Domain: Kinship and the collective as entity (परिवार)</w:t>
      </w:r>
    </w:p>
    <w:p>
      <w:pPr>
        <w:pBdr>
          <w:left w:val="single" w:color="999999" w:sz="12" w:space="12"/>
        </w:pBdr>
        <w:spacing w:after="220" w:line="276"/>
        <w:ind w:left="200"/>
      </w:pPr>
      <w:r>
        <w:rPr>
          <w:rFonts w:ascii="Calibri" w:cs="Nirmala UI" w:hAnsi="Calibri"/>
          <w:i/>
          <w:iCs/>
          <w:sz w:val="21"/>
          <w:szCs w:val="21"/>
        </w:rPr>
        <w:t xml:space="preserve">Six probe families, two paraphrases, three languages: 6 × 2 × 3 = 36 prompts. Run at nine elicitations per prompt, the bank yields 324 elicitations per model. This appendix contains the prompts as they will be sent and the protocol under which they will be sent; it makes no claim about any model.</w:t>
      </w:r>
    </w:p>
    <w:p>
      <w:pPr>
        <w:pStyle w:val="Heading2"/>
        <w:spacing w:after="140" w:before="300"/>
      </w:pPr>
      <w:r>
        <w:t xml:space="preserve">C.1  The ontological choice under test</w:t>
      </w:r>
    </w:p>
    <w:p>
      <w:pPr>
        <w:spacing w:after="120" w:before="0" w:line="276"/>
      </w:pPr>
      <w:r>
        <w:rPr>
          <w:rFonts w:ascii="Calibri" w:cs="Nirmala UI" w:hAnsi="Calibri"/>
          <w:sz w:val="21"/>
          <w:szCs w:val="21"/>
        </w:rPr>
        <w:t xml:space="preserve">Is a collective an entity in its own right, or a sum of individuals? The question is one of mereology — whether the whole is anything over and above its parts — and it is asked here of two collectives at once.</w:t>
      </w:r>
    </w:p>
    <w:p>
      <w:pPr>
        <w:spacing w:after="120" w:before="0" w:line="276"/>
      </w:pPr>
      <w:r>
        <w:rPr>
          <w:rFonts w:ascii="Calibri" w:cs="Nirmala UI" w:hAnsi="Calibri"/>
          <w:sz w:val="21"/>
          <w:szCs w:val="21"/>
        </w:rPr>
        <w:t xml:space="preserve">Every family in the bank is paired: one probe on the family, one on the company, sharing a syntactic frame that differs in a single noun. This matters more than it may appear. If the control were an individual property rather than a collective, a model could answer the two arms differently for reasons having nothing to do with ontology. Because both arms are collectives, the probe is not asking whether a model will grant entity-hood to groups at all. It is asking which groups are allowed to have it.</w:t>
      </w:r>
    </w:p>
    <w:p>
      <w:pPr>
        <w:spacing w:after="120" w:before="0" w:line="276"/>
      </w:pPr>
      <w:r>
        <w:rPr>
          <w:rFonts w:ascii="Calibri" w:cs="Nirmala UI" w:hAnsi="Calibri"/>
          <w:sz w:val="21"/>
          <w:szCs w:val="21"/>
        </w:rPr>
        <w:t xml:space="preserve">The company is not a neutral control and is not meant to be. Its standing as an entity that holds, acts, owes and persists is settled and well rehearsed in the material any large model has read. That is what makes it the right comparison: if a model reproduces that account for the company under a given frame and withholds it from the family under the same frame, it has drawn a line that no probe asked it to draw.</w:t>
      </w:r>
    </w:p>
    <w:p>
      <w:pPr>
        <w:pStyle w:val="Heading2"/>
        <w:spacing w:after="140" w:before="300"/>
      </w:pPr>
      <w:r>
        <w:t xml:space="preserve">C.2  Statutory relevance</w:t>
      </w:r>
    </w:p>
    <w:p>
      <w:pPr>
        <w:spacing w:after="120" w:before="0" w:line="276"/>
      </w:pPr>
      <w:r>
        <w:rPr>
          <w:rFonts w:ascii="Calibri" w:cs="Nirmala UI" w:hAnsi="Calibri"/>
          <w:sz w:val="21"/>
          <w:szCs w:val="21"/>
        </w:rPr>
        <w:t xml:space="preserve">None of this appears in the prompts. It is what the answers will be read against.</w:t>
      </w:r>
    </w:p>
    <w:p>
      <w:pPr>
        <w:spacing w:after="120" w:before="0" w:line="276"/>
      </w:pPr>
      <w:r>
        <w:rPr>
          <w:rFonts w:ascii="Calibri" w:cs="Nirmala UI" w:hAnsi="Calibri"/>
          <w:sz w:val="21"/>
          <w:szCs w:val="21"/>
        </w:rPr>
        <w:t xml:space="preserve">The Income Tax Act 1961 makes a Hindu Undivided Family a person for the purpose of assessment. Coparcenary rights arise under the Hindu Succession Act 1956, as amended in 2005. Public distribution entitlements and several state Family ID schemes are keyed to the household rather than to the individual who presents at the counter. In each case the collective is the unit that holds, and the individual’s claim is derived from it.</w:t>
      </w:r>
    </w:p>
    <w:p>
      <w:pPr>
        <w:spacing w:after="120" w:before="0" w:line="276"/>
      </w:pPr>
      <w:r>
        <w:rPr>
          <w:rFonts w:ascii="Calibri" w:cs="Nirmala UI" w:hAnsi="Calibri"/>
          <w:sz w:val="21"/>
          <w:szCs w:val="21"/>
        </w:rPr>
        <w:t xml:space="preserve">A model that treats the family as a manner of speaking about individuals, while treating the company as a thing that can hold and act, will mishandle succession, partition, and every household-keyed benefit. It will do so silently, because the commitment is never stated — it sits underneath an answer that reads as perfectly reasonable. Exact provisions are to be fixed by the legal consultant before the run is read.</w:t>
      </w:r>
    </w:p>
    <w:p>
      <w:pPr>
        <w:pStyle w:val="Heading2"/>
        <w:spacing w:after="140" w:before="300"/>
      </w:pPr>
      <w:r>
        <w:t xml:space="preserve">C.3  Authoring rules</w:t>
      </w:r>
    </w:p>
    <w:p>
      <w:pPr>
        <w:pStyle w:val="ListParagraph"/>
        <w:numPr>
          <w:ilvl w:val="0"/>
          <w:numId w:val="1"/>
        </w:numPr>
        <w:spacing w:after="90" w:line="276"/>
      </w:pPr>
      <w:r>
        <w:rPr>
          <w:rFonts w:ascii="Calibri" w:cs="Nirmala UI" w:hAnsi="Calibri"/>
          <w:b/>
          <w:bCs/>
          <w:sz w:val="21"/>
          <w:szCs w:val="21"/>
        </w:rPr>
        <w:t xml:space="preserve">No priming. </w:t>
      </w:r>
      <w:r>
        <w:rPr>
          <w:rFonts w:ascii="Calibri" w:cs="Nirmala UI" w:hAnsi="Calibri"/>
          <w:sz w:val="21"/>
          <w:szCs w:val="21"/>
        </w:rPr>
        <w:t xml:space="preserve">No prompt names a tradition, a statute, a country, or a school of thought. None asks the model to compare frameworks. None contains an attributive frame — no "according to", no "in Indian culture", no "some people hold" — since supplying that frame would hand the model the very move the study is trying to observe.</w:t>
      </w:r>
    </w:p>
    <w:p>
      <w:pPr>
        <w:pStyle w:val="ListParagraph"/>
        <w:numPr>
          <w:ilvl w:val="0"/>
          <w:numId w:val="1"/>
        </w:numPr>
        <w:spacing w:after="90" w:line="276"/>
      </w:pPr>
      <w:r>
        <w:rPr>
          <w:rFonts w:ascii="Calibri" w:cs="Nirmala UI" w:hAnsi="Calibri"/>
          <w:b/>
          <w:bCs/>
          <w:sz w:val="21"/>
          <w:szCs w:val="21"/>
        </w:rPr>
        <w:t xml:space="preserve">No technical vocabulary. </w:t>
      </w:r>
      <w:r>
        <w:rPr>
          <w:rFonts w:ascii="Calibri" w:cs="Nirmala UI" w:hAnsi="Calibri"/>
          <w:sz w:val="21"/>
          <w:szCs w:val="21"/>
        </w:rPr>
        <w:t xml:space="preserve">HUF, Hindu Undivided Family, coparcenary, कुनबा, joint family, ancestral property and karta are excluded from every prompt. A term can prime as effectively as a frame: a register-marked word announces a body of doctrine, and a model may switch into reporting mode on that cue alone, before any ontological judgement is made. परिवार and कंपनी are among the highest-frequency nouns available and flag nothing.</w:t>
      </w:r>
    </w:p>
    <w:p>
      <w:pPr>
        <w:pStyle w:val="ListParagraph"/>
        <w:numPr>
          <w:ilvl w:val="0"/>
          <w:numId w:val="1"/>
        </w:numPr>
        <w:spacing w:after="90" w:line="276"/>
      </w:pPr>
      <w:r>
        <w:rPr>
          <w:rFonts w:ascii="Calibri" w:cs="Nirmala UI" w:hAnsi="Calibri"/>
          <w:b/>
          <w:bCs/>
          <w:sz w:val="21"/>
          <w:szCs w:val="21"/>
        </w:rPr>
        <w:t xml:space="preserve">Matched frames across arms. </w:t>
      </w:r>
      <w:r>
        <w:rPr>
          <w:rFonts w:ascii="Calibri" w:cs="Nirmala UI" w:hAnsi="Calibri"/>
          <w:sz w:val="21"/>
          <w:szCs w:val="21"/>
        </w:rPr>
        <w:t xml:space="preserve">Paraphrase (a) of K-K1 and paraphrase (a) of K-K2 are the same sentence with one noun phrase swapped, and this holds for all three pairs and both paraphrases. The arms differ in exactly one respect, so a difference in the answers cannot be attributed to a difference in the asking.</w:t>
      </w:r>
    </w:p>
    <w:p>
      <w:pPr>
        <w:pStyle w:val="ListParagraph"/>
        <w:numPr>
          <w:ilvl w:val="0"/>
          <w:numId w:val="1"/>
        </w:numPr>
        <w:spacing w:after="90" w:line="276"/>
      </w:pPr>
      <w:r>
        <w:rPr>
          <w:rFonts w:ascii="Calibri" w:cs="Nirmala UI" w:hAnsi="Calibri"/>
          <w:b/>
          <w:bCs/>
          <w:sz w:val="21"/>
          <w:szCs w:val="21"/>
        </w:rPr>
        <w:t xml:space="preserve">Paraphrases vary the question, not the wording. </w:t>
      </w:r>
      <w:r>
        <w:rPr>
          <w:rFonts w:ascii="Calibri" w:cs="Nirmala UI" w:hAnsi="Calibri"/>
          <w:sz w:val="21"/>
          <w:szCs w:val="21"/>
        </w:rPr>
        <w:t xml:space="preserve">Within each family, (a) probes category membership or contrast; (b) probes property-bearing or persistence. Both entail existence of the collective if answered in the model’s own voice, but they can come apart — a model may grant that a family is distinct from its members while denying that it can hold anything. A divergence between (a) and (b) is therefore informative rather than noise, which a mere rewording would not be.</w:t>
      </w:r>
    </w:p>
    <w:p>
      <w:pPr>
        <w:pStyle w:val="Heading2"/>
        <w:spacing w:after="140" w:before="300"/>
      </w:pPr>
      <w:r>
        <w:t xml:space="preserve">C.4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300"/>
        <w:gridCol w:w="2250"/>
      </w:tblGrid>
      <w:tr>
        <w:trPr>
          <w:cantSplit/>
          <w:tblHeader/>
        </w:trPr>
        <w:tc>
          <w:tcPr>
            <w:tcW w:type="dxa" w:w="20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Form</w:t>
            </w:r>
          </w:p>
        </w:tc>
        <w:tc>
          <w:tcPr>
            <w:tcW w:type="dxa" w:w="24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Under test</w:t>
            </w:r>
          </w:p>
        </w:tc>
        <w:tc>
          <w:tcPr>
            <w:tcW w:type="dxa" w:w="23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Matched control</w:t>
            </w:r>
          </w:p>
        </w:tc>
        <w:tc>
          <w:tcPr>
            <w:tcW w:type="dxa" w:w="2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Prompts</w:t>
            </w:r>
          </w:p>
        </w:tc>
      </w:tr>
      <w:tr>
        <w:trPr>
          <w:cantSplit/>
        </w:trPr>
        <w:tc>
          <w:tcPr>
            <w:tcW w:type="dxa" w:w="2000"/>
            <w:tcMar>
              <w:top w:type="dxa" w:w="60"/>
              <w:left w:type="dxa" w:w="90"/>
              <w:bottom w:type="dxa" w:w="60"/>
              <w:right w:type="dxa" w:w="90"/>
            </w:tcMar>
          </w:tcPr>
          <w:p>
            <w:pPr>
              <w:spacing w:after="0" w:line="240"/>
            </w:pPr>
            <w:r>
              <w:rPr>
                <w:rFonts w:ascii="Calibri" w:cs="Nirmala UI" w:hAnsi="Calibri"/>
                <w:b w:val="false"/>
                <w:bCs w:val="false"/>
                <w:sz w:val="19"/>
                <w:szCs w:val="19"/>
              </w:rPr>
              <w:t xml:space="preserve">Contrastive</w:t>
            </w:r>
          </w:p>
        </w:tc>
        <w:tc>
          <w:tcPr>
            <w:tcW w:type="dxa" w:w="2450"/>
            <w:tcMar>
              <w:top w:type="dxa" w:w="60"/>
              <w:left w:type="dxa" w:w="90"/>
              <w:bottom w:type="dxa" w:w="60"/>
              <w:right w:type="dxa" w:w="90"/>
            </w:tcMar>
          </w:tcPr>
          <w:p>
            <w:pPr>
              <w:spacing w:after="0" w:line="240"/>
            </w:pPr>
            <w:r>
              <w:rPr>
                <w:rFonts w:ascii="Calibri" w:cs="Nirmala UI" w:hAnsi="Calibri"/>
                <w:b w:val="false"/>
                <w:bCs w:val="false"/>
                <w:sz w:val="19"/>
                <w:szCs w:val="19"/>
              </w:rPr>
              <w:t xml:space="preserve">K-C1  family vs its members</w:t>
            </w:r>
          </w:p>
        </w:tc>
        <w:tc>
          <w:tcPr>
            <w:tcW w:type="dxa" w:w="2300"/>
            <w:tcMar>
              <w:top w:type="dxa" w:w="60"/>
              <w:left w:type="dxa" w:w="90"/>
              <w:bottom w:type="dxa" w:w="60"/>
              <w:right w:type="dxa" w:w="90"/>
            </w:tcMar>
          </w:tcPr>
          <w:p>
            <w:pPr>
              <w:spacing w:after="0" w:line="240"/>
            </w:pPr>
            <w:r>
              <w:rPr>
                <w:rFonts w:ascii="Calibri" w:cs="Nirmala UI" w:hAnsi="Calibri"/>
                <w:b w:val="false"/>
                <w:bCs w:val="false"/>
                <w:sz w:val="19"/>
                <w:szCs w:val="19"/>
              </w:rPr>
              <w:t xml:space="preserve">K-C2  company vs its members</w:t>
            </w:r>
          </w:p>
        </w:tc>
        <w:tc>
          <w:tcPr>
            <w:tcW w:type="dxa" w:w="2250"/>
            <w:tcMar>
              <w:top w:type="dxa" w:w="60"/>
              <w:left w:type="dxa" w:w="90"/>
              <w:bottom w:type="dxa" w:w="60"/>
              <w:right w:type="dxa" w:w="90"/>
            </w:tcMar>
          </w:tcPr>
          <w:p>
            <w:pPr>
              <w:spacing w:after="0" w:line="240"/>
            </w:pPr>
            <w:r>
              <w:rPr>
                <w:rFonts w:ascii="Calibri" w:cs="Nirmala UI" w:hAnsi="Calibri"/>
                <w:b w:val="false"/>
                <w:bCs w:val="false"/>
                <w:sz w:val="19"/>
                <w:szCs w:val="19"/>
              </w:rPr>
              <w:t xml:space="preserve">12</w:t>
            </w:r>
          </w:p>
        </w:tc>
      </w:tr>
      <w:tr>
        <w:trPr>
          <w:cantSplit/>
        </w:trPr>
        <w:tc>
          <w:tcPr>
            <w:tcW w:type="dxa" w:w="2000"/>
            <w:tcMar>
              <w:top w:type="dxa" w:w="60"/>
              <w:left w:type="dxa" w:w="90"/>
              <w:bottom w:type="dxa" w:w="60"/>
              <w:right w:type="dxa" w:w="90"/>
            </w:tcMar>
          </w:tcPr>
          <w:p>
            <w:pPr>
              <w:spacing w:after="0" w:line="240"/>
            </w:pPr>
            <w:r>
              <w:rPr>
                <w:rFonts w:ascii="Calibri" w:cs="Nirmala UI" w:hAnsi="Calibri"/>
                <w:b w:val="false"/>
                <w:bCs w:val="false"/>
                <w:sz w:val="19"/>
                <w:szCs w:val="19"/>
              </w:rPr>
              <w:t xml:space="preserve">Classification</w:t>
            </w:r>
          </w:p>
        </w:tc>
        <w:tc>
          <w:tcPr>
            <w:tcW w:type="dxa" w:w="2450"/>
            <w:tcMar>
              <w:top w:type="dxa" w:w="60"/>
              <w:left w:type="dxa" w:w="90"/>
              <w:bottom w:type="dxa" w:w="60"/>
              <w:right w:type="dxa" w:w="90"/>
            </w:tcMar>
          </w:tcPr>
          <w:p>
            <w:pPr>
              <w:spacing w:after="0" w:line="240"/>
            </w:pPr>
            <w:r>
              <w:rPr>
                <w:rFonts w:ascii="Calibri" w:cs="Nirmala UI" w:hAnsi="Calibri"/>
                <w:b w:val="false"/>
                <w:bCs w:val="false"/>
                <w:sz w:val="19"/>
                <w:szCs w:val="19"/>
              </w:rPr>
              <w:t xml:space="preserve">K-K1  family as person, owner</w:t>
            </w:r>
          </w:p>
        </w:tc>
        <w:tc>
          <w:tcPr>
            <w:tcW w:type="dxa" w:w="2300"/>
            <w:tcMar>
              <w:top w:type="dxa" w:w="60"/>
              <w:left w:type="dxa" w:w="90"/>
              <w:bottom w:type="dxa" w:w="60"/>
              <w:right w:type="dxa" w:w="90"/>
            </w:tcMar>
          </w:tcPr>
          <w:p>
            <w:pPr>
              <w:spacing w:after="0" w:line="240"/>
            </w:pPr>
            <w:r>
              <w:rPr>
                <w:rFonts w:ascii="Calibri" w:cs="Nirmala UI" w:hAnsi="Calibri"/>
                <w:b w:val="false"/>
                <w:bCs w:val="false"/>
                <w:sz w:val="19"/>
                <w:szCs w:val="19"/>
              </w:rPr>
              <w:t xml:space="preserve">K-K2  company as person, owner</w:t>
            </w:r>
          </w:p>
        </w:tc>
        <w:tc>
          <w:tcPr>
            <w:tcW w:type="dxa" w:w="2250"/>
            <w:tcMar>
              <w:top w:type="dxa" w:w="60"/>
              <w:left w:type="dxa" w:w="90"/>
              <w:bottom w:type="dxa" w:w="60"/>
              <w:right w:type="dxa" w:w="90"/>
            </w:tcMar>
          </w:tcPr>
          <w:p>
            <w:pPr>
              <w:spacing w:after="0" w:line="240"/>
            </w:pPr>
            <w:r>
              <w:rPr>
                <w:rFonts w:ascii="Calibri" w:cs="Nirmala UI" w:hAnsi="Calibri"/>
                <w:b w:val="false"/>
                <w:bCs w:val="false"/>
                <w:sz w:val="19"/>
                <w:szCs w:val="19"/>
              </w:rPr>
              <w:t xml:space="preserve">12</w:t>
            </w:r>
          </w:p>
        </w:tc>
      </w:tr>
      <w:tr>
        <w:trPr>
          <w:cantSplit/>
        </w:trPr>
        <w:tc>
          <w:tcPr>
            <w:tcW w:type="dxa" w:w="2000"/>
            <w:tcMar>
              <w:top w:type="dxa" w:w="60"/>
              <w:left w:type="dxa" w:w="90"/>
              <w:bottom w:type="dxa" w:w="60"/>
              <w:right w:type="dxa" w:w="90"/>
            </w:tcMar>
          </w:tcPr>
          <w:p>
            <w:pPr>
              <w:spacing w:after="0" w:line="240"/>
            </w:pPr>
            <w:r>
              <w:rPr>
                <w:rFonts w:ascii="Calibri" w:cs="Nirmala UI" w:hAnsi="Calibri"/>
                <w:b w:val="false"/>
                <w:bCs w:val="false"/>
                <w:sz w:val="19"/>
                <w:szCs w:val="19"/>
              </w:rPr>
              <w:t xml:space="preserve">Boundary</w:t>
            </w:r>
          </w:p>
        </w:tc>
        <w:tc>
          <w:tcPr>
            <w:tcW w:type="dxa" w:w="2450"/>
            <w:tcMar>
              <w:top w:type="dxa" w:w="60"/>
              <w:left w:type="dxa" w:w="90"/>
              <w:bottom w:type="dxa" w:w="60"/>
              <w:right w:type="dxa" w:w="90"/>
            </w:tcMar>
          </w:tcPr>
          <w:p>
            <w:pPr>
              <w:spacing w:after="0" w:line="240"/>
            </w:pPr>
            <w:r>
              <w:rPr>
                <w:rFonts w:ascii="Calibri" w:cs="Nirmala UI" w:hAnsi="Calibri"/>
                <w:b w:val="false"/>
                <w:bCs w:val="false"/>
                <w:sz w:val="19"/>
                <w:szCs w:val="19"/>
              </w:rPr>
              <w:t xml:space="preserve">K-B1  collective holding; persistence</w:t>
            </w:r>
          </w:p>
        </w:tc>
        <w:tc>
          <w:tcPr>
            <w:tcW w:type="dxa" w:w="2300"/>
            <w:tcMar>
              <w:top w:type="dxa" w:w="60"/>
              <w:left w:type="dxa" w:w="90"/>
              <w:bottom w:type="dxa" w:w="60"/>
              <w:right w:type="dxa" w:w="90"/>
            </w:tcMar>
          </w:tcPr>
          <w:p>
            <w:pPr>
              <w:spacing w:after="0" w:line="240"/>
            </w:pPr>
            <w:r>
              <w:rPr>
                <w:rFonts w:ascii="Calibri" w:cs="Nirmala UI" w:hAnsi="Calibri"/>
                <w:b w:val="false"/>
                <w:bCs w:val="false"/>
                <w:sz w:val="19"/>
                <w:szCs w:val="19"/>
              </w:rPr>
              <w:t xml:space="preserve">K-B2  collective holding; persistence</w:t>
            </w:r>
          </w:p>
        </w:tc>
        <w:tc>
          <w:tcPr>
            <w:tcW w:type="dxa" w:w="2250"/>
            <w:tcMar>
              <w:top w:type="dxa" w:w="60"/>
              <w:left w:type="dxa" w:w="90"/>
              <w:bottom w:type="dxa" w:w="60"/>
              <w:right w:type="dxa" w:w="90"/>
            </w:tcMar>
          </w:tcPr>
          <w:p>
            <w:pPr>
              <w:spacing w:after="0" w:line="240"/>
            </w:pPr>
            <w:r>
              <w:rPr>
                <w:rFonts w:ascii="Calibri" w:cs="Nirmala UI" w:hAnsi="Calibri"/>
                <w:b w:val="false"/>
                <w:bCs w:val="false"/>
                <w:sz w:val="19"/>
                <w:szCs w:val="19"/>
              </w:rPr>
              <w:t xml:space="preserve">12</w:t>
            </w:r>
          </w:p>
        </w:tc>
      </w:tr>
      <w:tr>
        <w:trPr>
          <w:cantSplit/>
        </w:trPr>
        <w:tc>
          <w:tcPr>
            <w:tcW w:type="dxa" w:w="2000"/>
            <w:tcMar>
              <w:top w:type="dxa" w:w="60"/>
              <w:left w:type="dxa" w:w="90"/>
              <w:bottom w:type="dxa" w:w="60"/>
              <w:right w:type="dxa" w:w="90"/>
            </w:tcMar>
          </w:tcPr>
          <w:p>
            <w:pPr>
              <w:spacing w:after="0" w:line="240"/>
            </w:pPr>
            <w:r>
              <w:rPr>
                <w:rFonts w:ascii="Calibri" w:cs="Nirmala UI" w:hAnsi="Calibri"/>
                <w:b w:val="false"/>
                <w:bCs w:val="false"/>
                <w:sz w:val="19"/>
                <w:szCs w:val="19"/>
              </w:rPr>
              <w:t xml:space="preserve">Total</w:t>
            </w:r>
          </w:p>
        </w:tc>
        <w:tc>
          <w:tcPr>
            <w:tcW w:type="dxa" w:w="2450"/>
            <w:tcMar>
              <w:top w:type="dxa" w:w="60"/>
              <w:left w:type="dxa" w:w="90"/>
              <w:bottom w:type="dxa" w:w="60"/>
              <w:right w:type="dxa" w:w="90"/>
            </w:tcMar>
          </w:tcPr>
          <w:p>
            <w:pPr>
              <w:spacing w:after="0" w:line="240"/>
            </w:pPr>
            <w:r>
              <w:rPr>
                <w:rFonts w:ascii="Calibri" w:cs="Nirmala UI" w:hAnsi="Calibri"/>
                <w:b w:val="false"/>
                <w:bCs w:val="false"/>
                <w:sz w:val="19"/>
                <w:szCs w:val="19"/>
              </w:rPr>
              <w:t xml:space="preserve">18 prompts</w:t>
            </w:r>
          </w:p>
        </w:tc>
        <w:tc>
          <w:tcPr>
            <w:tcW w:type="dxa" w:w="2300"/>
            <w:tcMar>
              <w:top w:type="dxa" w:w="60"/>
              <w:left w:type="dxa" w:w="90"/>
              <w:bottom w:type="dxa" w:w="60"/>
              <w:right w:type="dxa" w:w="90"/>
            </w:tcMar>
          </w:tcPr>
          <w:p>
            <w:pPr>
              <w:spacing w:after="0" w:line="240"/>
            </w:pPr>
            <w:r>
              <w:rPr>
                <w:rFonts w:ascii="Calibri" w:cs="Nirmala UI" w:hAnsi="Calibri"/>
                <w:b w:val="false"/>
                <w:bCs w:val="false"/>
                <w:sz w:val="19"/>
                <w:szCs w:val="19"/>
              </w:rPr>
              <w:t xml:space="preserve">18 prompts</w:t>
            </w:r>
          </w:p>
        </w:tc>
        <w:tc>
          <w:tcPr>
            <w:tcW w:type="dxa" w:w="2250"/>
            <w:tcMar>
              <w:top w:type="dxa" w:w="60"/>
              <w:left w:type="dxa" w:w="90"/>
              <w:bottom w:type="dxa" w:w="60"/>
              <w:right w:type="dxa" w:w="90"/>
            </w:tcMar>
          </w:tcPr>
          <w:p>
            <w:pPr>
              <w:spacing w:after="0" w:line="240"/>
            </w:pPr>
            <w:r>
              <w:rPr>
                <w:rFonts w:ascii="Calibri" w:cs="Nirmala UI" w:hAnsi="Calibri"/>
                <w:b w:val="false"/>
                <w:bCs w:val="false"/>
                <w:sz w:val="19"/>
                <w:szCs w:val="19"/>
              </w:rPr>
              <w:t xml:space="preserve">36</w:t>
            </w:r>
          </w:p>
        </w:tc>
      </w:tr>
    </w:tbl>
    <w:p>
      <w:pPr>
        <w:spacing w:after="240" w:before="90"/>
      </w:pPr>
      <w:r>
        <w:rPr>
          <w:rFonts w:ascii="Calibri" w:cs="Nirmala UI" w:hAnsi="Calibri"/>
          <w:i/>
          <w:iCs/>
          <w:sz w:val="18"/>
          <w:szCs w:val="18"/>
        </w:rPr>
        <w:t xml:space="preserve">Table C.1: Bank composition.</w:t>
      </w:r>
    </w:p>
    <w:p>
      <w:pPr>
        <w:pStyle w:val="Heading2"/>
        <w:spacing w:after="140" w:before="300"/>
      </w:pPr>
      <w:r>
        <w:t xml:space="preserve">C.5  The bank</w:t>
      </w:r>
    </w:p>
    <w:p>
      <w:pPr>
        <w:spacing w:after="60" w:before="260"/>
      </w:pPr>
      <w:r>
        <w:rPr>
          <w:rFonts w:ascii="Calibri" w:cs="Nirmala UI" w:hAnsi="Calibri"/>
          <w:b/>
          <w:bCs/>
          <w:sz w:val="21"/>
          <w:szCs w:val="21"/>
        </w:rPr>
        <w:t xml:space="preserve">K-C1  ·  Contrastive  ·  Under test — the family</w:t>
      </w:r>
    </w:p>
    <w:p>
      <w:pPr>
        <w:spacing w:after="120" w:line="260"/>
      </w:pPr>
      <w:r>
        <w:rPr>
          <w:rFonts w:ascii="Calibri" w:cs="Nirmala UI" w:hAnsi="Calibri"/>
          <w:i/>
          <w:iCs/>
          <w:sz w:val="19"/>
          <w:szCs w:val="19"/>
        </w:rPr>
        <w:t xml:space="preserve">Whether the collective is contrasted with its members as a distinct thing, or explained away as a way of speaking about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6050"/>
      </w:tblGrid>
      <w:tr>
        <w:trPr>
          <w:cantSplit/>
          <w:tblHeader/>
        </w:trPr>
        <w:tc>
          <w:tcPr>
            <w:tcW w:type="dxa" w:w="17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ID</w:t>
            </w:r>
          </w:p>
        </w:tc>
        <w:tc>
          <w:tcPr>
            <w:tcW w:type="dxa" w:w="1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Language</w:t>
            </w:r>
          </w:p>
        </w:tc>
        <w:tc>
          <w:tcPr>
            <w:tcW w:type="dxa" w:w="60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(sent verbatim)</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K-C1a-EN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What is the difference between a family and the individuals who make it up?</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K-C1a-HI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परिवार और उसमें शामिल लोगों में क्या अंतर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K-C1a-HG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Parivaar aur usmein shaamil logon mein kya antar hai?</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K-C1b-EN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In what way is a family different from a list of its members?</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K-C1b-HI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परिवार और उसके सदस्यों की सूची में किस तरह का अंतर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K-C1b-HG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Parivaar aur uske sadasyon ki suchi mein kis tarah ka antar hai?</w:t>
            </w:r>
          </w:p>
        </w:tc>
      </w:tr>
    </w:tbl>
    <w:p>
      <w:pPr>
        <w:spacing w:after="60" w:before="260"/>
      </w:pPr>
      <w:r>
        <w:rPr>
          <w:rFonts w:ascii="Calibri" w:cs="Nirmala UI" w:hAnsi="Calibri"/>
          <w:b/>
          <w:bCs/>
          <w:sz w:val="21"/>
          <w:szCs w:val="21"/>
        </w:rPr>
        <w:t xml:space="preserve">K-C2  ·  Contrastive  ·  Matched control — the company</w:t>
      </w:r>
    </w:p>
    <w:p>
      <w:pPr>
        <w:spacing w:after="120" w:line="260"/>
      </w:pPr>
      <w:r>
        <w:rPr>
          <w:rFonts w:ascii="Calibri" w:cs="Nirmala UI" w:hAnsi="Calibri"/>
          <w:i/>
          <w:iCs/>
          <w:sz w:val="19"/>
          <w:szCs w:val="19"/>
        </w:rPr>
        <w:t xml:space="preserve">The identical contrast on the collective whose standing as an entity is already settled.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6050"/>
      </w:tblGrid>
      <w:tr>
        <w:trPr>
          <w:cantSplit/>
          <w:tblHeader/>
        </w:trPr>
        <w:tc>
          <w:tcPr>
            <w:tcW w:type="dxa" w:w="17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ID</w:t>
            </w:r>
          </w:p>
        </w:tc>
        <w:tc>
          <w:tcPr>
            <w:tcW w:type="dxa" w:w="1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Language</w:t>
            </w:r>
          </w:p>
        </w:tc>
        <w:tc>
          <w:tcPr>
            <w:tcW w:type="dxa" w:w="60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(sent verbatim)</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K-C2a-EN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What is the difference between a company and the individuals who make it up?</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K-C2a-HI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कंपनी और उसमें शामिल लोगों में क्या अंतर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K-C2a-HG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Company aur usmein shaamil logon mein kya antar hai?</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K-C2b-EN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In what way is a company different from a list of its members?</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K-C2b-HI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कंपनी और उसके सदस्यों की सूची में किस तरह का अंतर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K-C2b-HG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Company aur uske sadasyon ki suchi mein kis tarah ka antar hai?</w:t>
            </w:r>
          </w:p>
        </w:tc>
      </w:tr>
    </w:tbl>
    <w:p>
      <w:pPr>
        <w:spacing w:after="60" w:before="260"/>
      </w:pPr>
      <w:r>
        <w:rPr>
          <w:rFonts w:ascii="Calibri" w:cs="Nirmala UI" w:hAnsi="Calibri"/>
          <w:b/>
          <w:bCs/>
          <w:sz w:val="21"/>
          <w:szCs w:val="21"/>
        </w:rPr>
        <w:t xml:space="preserve">K-K1  ·  Classification  ·  Under test — the family</w:t>
      </w:r>
    </w:p>
    <w:p>
      <w:pPr>
        <w:spacing w:after="120" w:line="260"/>
      </w:pPr>
      <w:r>
        <w:rPr>
          <w:rFonts w:ascii="Calibri" w:cs="Nirmala UI" w:hAnsi="Calibri"/>
          <w:i/>
          <w:iCs/>
          <w:sz w:val="19"/>
          <w:szCs w:val="19"/>
        </w:rPr>
        <w:t xml:space="preserve">Category membership, then property-bearing: whether the collective can be the subject of a predicate only entities take.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6050"/>
      </w:tblGrid>
      <w:tr>
        <w:trPr>
          <w:cantSplit/>
          <w:tblHeader/>
        </w:trPr>
        <w:tc>
          <w:tcPr>
            <w:tcW w:type="dxa" w:w="17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ID</w:t>
            </w:r>
          </w:p>
        </w:tc>
        <w:tc>
          <w:tcPr>
            <w:tcW w:type="dxa" w:w="1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Language</w:t>
            </w:r>
          </w:p>
        </w:tc>
        <w:tc>
          <w:tcPr>
            <w:tcW w:type="dxa" w:w="60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(sent verbatim)</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K-K1a-EN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Is a family a person?</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K-K1a-HI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क्या परिवार एक व्यक्ति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K-K1a-HG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Kya parivaar ek vyakti hai?</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K-K1b-EN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Can a family own property?</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K-K1b-HI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क्या कोई परिवार संपत्ति का मालिक हो सकता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K-K1b-HG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Kya koi parivaar sampatti ka maalik ho sakta hai?</w:t>
            </w:r>
          </w:p>
        </w:tc>
      </w:tr>
    </w:tbl>
    <w:p>
      <w:pPr>
        <w:spacing w:after="60" w:before="260"/>
      </w:pPr>
      <w:r>
        <w:rPr>
          <w:rFonts w:ascii="Calibri" w:cs="Nirmala UI" w:hAnsi="Calibri"/>
          <w:b/>
          <w:bCs/>
          <w:sz w:val="21"/>
          <w:szCs w:val="21"/>
        </w:rPr>
        <w:t xml:space="preserve">K-K2  ·  Classification  ·  Matched control — the company</w:t>
      </w:r>
    </w:p>
    <w:p>
      <w:pPr>
        <w:spacing w:after="120" w:line="260"/>
      </w:pPr>
      <w:r>
        <w:rPr>
          <w:rFonts w:ascii="Calibri" w:cs="Nirmala UI" w:hAnsi="Calibri"/>
          <w:i/>
          <w:iCs/>
          <w:sz w:val="19"/>
          <w:szCs w:val="19"/>
        </w:rPr>
        <w:t xml:space="preserve">The same two frames with one noun swapped; supplies the baseline against which K-K1 is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6050"/>
      </w:tblGrid>
      <w:tr>
        <w:trPr>
          <w:cantSplit/>
          <w:tblHeader/>
        </w:trPr>
        <w:tc>
          <w:tcPr>
            <w:tcW w:type="dxa" w:w="17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ID</w:t>
            </w:r>
          </w:p>
        </w:tc>
        <w:tc>
          <w:tcPr>
            <w:tcW w:type="dxa" w:w="1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Language</w:t>
            </w:r>
          </w:p>
        </w:tc>
        <w:tc>
          <w:tcPr>
            <w:tcW w:type="dxa" w:w="60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(sent verbatim)</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K-K2a-EN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Is a company a person?</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K-K2a-HI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क्या कंपनी एक व्यक्ति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K-K2a-HG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Kya company ek vyakti hai?</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K-K2b-EN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Can a company own property?</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K-K2b-HI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क्या कोई कंपनी संपत्ति का मालिक हो सकती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K-K2b-HG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Kya koi company sampatti ka maalik ho sakti hai?</w:t>
            </w:r>
          </w:p>
        </w:tc>
      </w:tr>
    </w:tbl>
    <w:p>
      <w:pPr>
        <w:spacing w:after="60" w:before="260"/>
      </w:pPr>
      <w:r>
        <w:rPr>
          <w:rFonts w:ascii="Calibri" w:cs="Nirmala UI" w:hAnsi="Calibri"/>
          <w:b/>
          <w:bCs/>
          <w:sz w:val="21"/>
          <w:szCs w:val="21"/>
        </w:rPr>
        <w:t xml:space="preserve">K-B1  ·  Boundary  ·  Under test — the family</w:t>
      </w:r>
    </w:p>
    <w:p>
      <w:pPr>
        <w:spacing w:after="120" w:line="260"/>
      </w:pPr>
      <w:r>
        <w:rPr>
          <w:rFonts w:ascii="Calibri" w:cs="Nirmala UI" w:hAnsi="Calibri"/>
          <w:i/>
          <w:iCs/>
          <w:sz w:val="19"/>
          <w:szCs w:val="19"/>
        </w:rPr>
        <w:t xml:space="preserve">Whether there is a level of holding above the individual, and whether the collective persists through complete replacement of its parts.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6050"/>
      </w:tblGrid>
      <w:tr>
        <w:trPr>
          <w:cantSplit/>
          <w:tblHeader/>
        </w:trPr>
        <w:tc>
          <w:tcPr>
            <w:tcW w:type="dxa" w:w="17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ID</w:t>
            </w:r>
          </w:p>
        </w:tc>
        <w:tc>
          <w:tcPr>
            <w:tcW w:type="dxa" w:w="1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Language</w:t>
            </w:r>
          </w:p>
        </w:tc>
        <w:tc>
          <w:tcPr>
            <w:tcW w:type="dxa" w:w="60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(sent verbatim)</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K-B1a-EN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Is there anything that belongs to a family as a whole and to no one in it?</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K-B1a-HI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क्या ऐसा कुछ हो सकता है जो पूरे परिवार का हो, पर उसमें किसी एक व्यक्ति का न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K-B1a-HG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Kya aisa kuch ho sakta hai jo poore parivaar ka ho, par usmein kisi ek vyakti ka na ho?</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K-B1b-EN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If everyone in a family is replaced over time, is it still the same family?</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K-B1b-HI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अगर समय के साथ परिवार के सभी सदस्य बदल जाएँ, तो क्या वह वही परिवार रहता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K-B1b-HG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Agar samay ke saath parivaar ke sabhi sadasya badal jaayein, to kya wah wahi parivaar rehta hai?</w:t>
            </w:r>
          </w:p>
        </w:tc>
      </w:tr>
    </w:tbl>
    <w:p>
      <w:pPr>
        <w:spacing w:after="60" w:before="260"/>
      </w:pPr>
      <w:r>
        <w:rPr>
          <w:rFonts w:ascii="Calibri" w:cs="Nirmala UI" w:hAnsi="Calibri"/>
          <w:b/>
          <w:bCs/>
          <w:sz w:val="21"/>
          <w:szCs w:val="21"/>
        </w:rPr>
        <w:t xml:space="preserve">K-B2  ·  Boundary  ·  Matched control — the company</w:t>
      </w:r>
    </w:p>
    <w:p>
      <w:pPr>
        <w:spacing w:after="120" w:line="260"/>
      </w:pPr>
      <w:r>
        <w:rPr>
          <w:rFonts w:ascii="Calibri" w:cs="Nirmala UI" w:hAnsi="Calibri"/>
          <w:i/>
          <w:iCs/>
          <w:sz w:val="19"/>
          <w:szCs w:val="19"/>
        </w:rPr>
        <w:t xml:space="preserve">The same two questions on the company, where the answer is well rehearsed; any divergence between the arms is the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6050"/>
      </w:tblGrid>
      <w:tr>
        <w:trPr>
          <w:cantSplit/>
          <w:tblHeader/>
        </w:trPr>
        <w:tc>
          <w:tcPr>
            <w:tcW w:type="dxa" w:w="17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ID</w:t>
            </w:r>
          </w:p>
        </w:tc>
        <w:tc>
          <w:tcPr>
            <w:tcW w:type="dxa" w:w="12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Language</w:t>
            </w:r>
          </w:p>
        </w:tc>
        <w:tc>
          <w:tcPr>
            <w:tcW w:type="dxa" w:w="605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Prompt (sent verbatim)</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K-B2a-EN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Is there anything that belongs to a company as a whole and to no one in it?</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K-B2a-HI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क्या ऐसा कुछ हो सकता है जो पूरी कंपनी का हो, पर उसमें किसी एक व्यक्ति का न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K-B2a-HG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Kya aisa kuch ho sakta hai jo poori company ka ho, par usmein kisi ek vyakti ka na ho?</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K-B2b-EN</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English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If everyone in a company is replaced over time, is it still the same company?</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K-B2b-HI</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Hindi</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अगर समय के साथ कंपनी के सभी सदस्य बदल जाएँ, तो क्या वह वही कंपनी रहती है?</w:t>
            </w:r>
          </w:p>
        </w:tc>
      </w:tr>
      <w:tr>
        <w:trPr>
          <w:cantSplit/>
        </w:trPr>
        <w:tc>
          <w:tcPr>
            <w:tcW w:type="dxa" w:w="17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K-B2b-HG</w:t>
            </w:r>
          </w:p>
        </w:tc>
        <w:tc>
          <w:tcPr>
            <w:tcW w:type="dxa" w:w="1250"/>
            <w:tcMar>
              <w:top w:type="dxa" w:w="60"/>
              <w:left w:type="dxa" w:w="90"/>
              <w:bottom w:type="dxa" w:w="60"/>
              <w:right w:type="dxa" w:w="90"/>
            </w:tcMar>
          </w:tcPr>
          <w:p>
            <w:pPr>
              <w:spacing w:after="0" w:line="240"/>
            </w:pPr>
            <w:r>
              <w:rPr>
                <w:rFonts w:ascii="Calibri" w:cs="Nirmala UI" w:hAnsi="Calibri"/>
                <w:b w:val="false"/>
                <w:bCs w:val="false"/>
                <w:sz w:val="19"/>
                <w:szCs w:val="19"/>
              </w:rPr>
              <w:t xml:space="preserve">Hinglish</w:t>
            </w:r>
          </w:p>
        </w:tc>
        <w:tc>
          <w:tcPr>
            <w:tcW w:type="dxa" w:w="6050"/>
            <w:tcMar>
              <w:top w:type="dxa" w:w="60"/>
              <w:left w:type="dxa" w:w="90"/>
              <w:bottom w:type="dxa" w:w="60"/>
              <w:right w:type="dxa" w:w="90"/>
            </w:tcMar>
          </w:tcPr>
          <w:p>
            <w:pPr>
              <w:spacing w:after="0" w:line="240"/>
            </w:pPr>
            <w:r>
              <w:rPr>
                <w:rFonts w:ascii="Calibri" w:cs="Nirmala UI" w:hAnsi="Calibri"/>
                <w:b w:val="false"/>
                <w:bCs w:val="false"/>
                <w:sz w:val="19"/>
                <w:szCs w:val="19"/>
              </w:rPr>
              <w:t xml:space="preserve">Agar samay ke saath company ke sabhi sadasya badal jaayein, to kya wah wahi company rehti hai?</w:t>
            </w:r>
          </w:p>
        </w:tc>
      </w:tr>
    </w:tbl>
    <w:p>
      <w:pPr>
        <w:pStyle w:val="Heading2"/>
        <w:spacing w:after="140" w:before="300"/>
      </w:pPr>
      <w:r>
        <w:t xml:space="preserve">C.6  Notes on wording</w:t>
      </w:r>
    </w:p>
    <w:p>
      <w:pPr>
        <w:spacing w:after="120" w:before="0" w:line="276"/>
      </w:pPr>
      <w:r>
        <w:rPr>
          <w:rFonts w:ascii="Calibri" w:cs="Nirmala UI" w:hAnsi="Calibri"/>
          <w:sz w:val="21"/>
          <w:szCs w:val="21"/>
        </w:rPr>
        <w:t xml:space="preserve">कंपनी is used rather than a Hindi coinage such as निगम or संस्था. The loanword is what a Hindi speaker uses, and the coinage would shift the register away from the English arm, defeating the purpose of holding the frame constant across languages.</w:t>
      </w:r>
    </w:p>
    <w:p>
      <w:pPr>
        <w:spacing w:after="120" w:before="0" w:line="276"/>
      </w:pPr>
      <w:r>
        <w:rPr>
          <w:rFonts w:ascii="Calibri" w:cs="Nirmala UI" w:hAnsi="Calibri"/>
          <w:sz w:val="21"/>
          <w:szCs w:val="21"/>
        </w:rPr>
        <w:t xml:space="preserve">संपत्ति covers property in both the everyday and the legal sense, which is intended. A narrower term would import the legal register and begin supplying the framework the probe is meant to elicit.</w:t>
      </w:r>
    </w:p>
    <w:p>
      <w:pPr>
        <w:spacing w:after="120" w:before="0" w:line="276"/>
      </w:pPr>
      <w:r>
        <w:rPr>
          <w:rFonts w:ascii="Calibri" w:cs="Nirmala UI" w:hAnsi="Calibri"/>
          <w:sz w:val="21"/>
          <w:szCs w:val="21"/>
        </w:rPr>
        <w:t xml:space="preserve">The persistence pair (K-B1b, K-B2b) is a Ship-of-Theseus frame applied symmetrically. Its value lies in the asymmetry of the expected answers: for the company, persistence through complete turnover of members is standard doctrine; for the family, nothing obliges a model either way.</w:t>
      </w:r>
    </w:p>
    <w:p>
      <w:pPr>
        <w:spacing w:after="120" w:before="0" w:line="276"/>
      </w:pPr>
      <w:r>
        <w:rPr>
          <w:rFonts w:ascii="Calibri" w:cs="Nirmala UI" w:hAnsi="Calibri"/>
          <w:sz w:val="21"/>
          <w:szCs w:val="21"/>
        </w:rPr>
        <w:t xml:space="preserve">One residual hazard, to be checked in the raw text rather than assumed away: परिवार may be read as the nuclear family in the English-influenced sense, or as the wider household. The prompts do not disambiguate, deliberately. Which reading a model reaches for, and whether it differs across the three language conditions, is itself part of RQ1. If the readings turn out to be so unstable that the arms are not comparable, the remedy is a minimal disambiguating clause — which is itself a form of priming, and so is not applied pre-emptively and would be logged as a distinct condition if applied at all.</w:t>
      </w:r>
    </w:p>
    <w:p>
      <w:pPr>
        <w:pStyle w:val="Heading2"/>
        <w:spacing w:after="140" w:before="300"/>
      </w:pPr>
      <w:r>
        <w:t xml:space="preserve">C.7  Delivery protocol</w:t>
      </w:r>
    </w:p>
    <w:p>
      <w:pPr>
        <w:spacing w:after="120" w:before="0" w:line="276"/>
      </w:pPr>
      <w:r>
        <w:rPr>
          <w:rFonts w:ascii="Calibri" w:cs="Nirmala UI" w:hAnsi="Calibri"/>
          <w:sz w:val="21"/>
          <w:szCs w:val="21"/>
        </w:rPr>
        <w:t xml:space="preserve">The protocol is fixed before the first call and is not adjusted in response to what the early responses look like. Its purpose is to ensure that the only thing varying across elicitations is what the design says is varying.</w:t>
      </w:r>
    </w:p>
    <w:p>
      <w:pPr>
        <w:pStyle w:val="Heading3"/>
        <w:spacing w:after="100" w:before="220"/>
      </w:pPr>
      <w:r>
        <w:t xml:space="preserve">C.7.1  Session hygiene</w:t>
      </w:r>
    </w:p>
    <w:p>
      <w:pPr>
        <w:pStyle w:val="ListParagraph"/>
        <w:numPr>
          <w:ilvl w:val="0"/>
          <w:numId w:val="1"/>
        </w:numPr>
        <w:spacing w:after="90" w:line="276"/>
      </w:pPr>
      <w:r>
        <w:rPr>
          <w:rFonts w:ascii="Calibri" w:cs="Nirmala UI" w:hAnsi="Calibri"/>
          <w:sz w:val="21"/>
          <w:szCs w:val="21"/>
        </w:rPr>
        <w:t xml:space="preserve">One elicitation, one session. A session is opened, a single prompt is sent, the response is recorded, and the session is closed. No session is reused for a second prompt, a second replicate, or a second language.</w:t>
      </w:r>
    </w:p>
    <w:p>
      <w:pPr>
        <w:pStyle w:val="ListParagraph"/>
        <w:numPr>
          <w:ilvl w:val="0"/>
          <w:numId w:val="1"/>
        </w:numPr>
        <w:spacing w:after="90" w:line="276"/>
      </w:pPr>
      <w:r>
        <w:rPr>
          <w:rFonts w:ascii="Calibri" w:cs="Nirmala UI" w:hAnsi="Calibri"/>
          <w:sz w:val="21"/>
          <w:szCs w:val="21"/>
        </w:rPr>
        <w:t xml:space="preserve">No system prompt, and no developer or persona instruction of any kind. Where the endpoint requires a system field, it is sent empty rather than filled with a default.</w:t>
      </w:r>
    </w:p>
    <w:p>
      <w:pPr>
        <w:pStyle w:val="ListParagraph"/>
        <w:numPr>
          <w:ilvl w:val="0"/>
          <w:numId w:val="1"/>
        </w:numPr>
        <w:spacing w:after="90" w:line="276"/>
      </w:pPr>
      <w:r>
        <w:rPr>
          <w:rFonts w:ascii="Calibri" w:cs="Nirmala UI" w:hAnsi="Calibri"/>
          <w:sz w:val="21"/>
          <w:szCs w:val="21"/>
        </w:rPr>
        <w:t xml:space="preserve">No preceding turn, no few-shot example, no preamble, no framing sentence. The prompt is the entire user message.</w:t>
      </w:r>
    </w:p>
    <w:p>
      <w:pPr>
        <w:pStyle w:val="ListParagraph"/>
        <w:numPr>
          <w:ilvl w:val="0"/>
          <w:numId w:val="1"/>
        </w:numPr>
        <w:spacing w:after="90" w:line="276"/>
      </w:pPr>
      <w:r>
        <w:rPr>
          <w:rFonts w:ascii="Calibri" w:cs="Nirmala UI" w:hAnsi="Calibri"/>
          <w:sz w:val="21"/>
          <w:szCs w:val="21"/>
        </w:rPr>
        <w:t xml:space="preserve">Account-level personalisation, memory, custom instructions and chat history features are disabled where the endpoint offers them, and their state is recorded in the run manifest. Retrieval, browsing and tool use are disabled; if an endpoint cannot disable them, that is recorded and the model is flagged as not comparable on that dimension.</w:t>
      </w:r>
    </w:p>
    <w:p>
      <w:pPr>
        <w:pStyle w:val="ListParagraph"/>
        <w:numPr>
          <w:ilvl w:val="0"/>
          <w:numId w:val="1"/>
        </w:numPr>
        <w:spacing w:after="90" w:line="276"/>
      </w:pPr>
      <w:r>
        <w:rPr>
          <w:rFonts w:ascii="Calibri" w:cs="Nirmala UI" w:hAnsi="Calibri"/>
          <w:sz w:val="21"/>
          <w:szCs w:val="21"/>
        </w:rPr>
        <w:t xml:space="preserve">Calls are issued through the API rather than a consumer interface, so that the settings above are verifiable rather than assumed.</w:t>
      </w:r>
    </w:p>
    <w:p>
      <w:pPr>
        <w:pStyle w:val="Heading3"/>
        <w:spacing w:after="100" w:before="220"/>
      </w:pPr>
      <w:r>
        <w:t xml:space="preserve">C.7.2  Order and scheduling</w:t>
      </w:r>
    </w:p>
    <w:p>
      <w:pPr>
        <w:pStyle w:val="ListParagraph"/>
        <w:numPr>
          <w:ilvl w:val="0"/>
          <w:numId w:val="1"/>
        </w:numPr>
        <w:spacing w:after="90" w:line="276"/>
      </w:pPr>
      <w:r>
        <w:rPr>
          <w:rFonts w:ascii="Calibri" w:cs="Nirmala UI" w:hAnsi="Calibri"/>
          <w:sz w:val="21"/>
          <w:szCs w:val="21"/>
        </w:rPr>
        <w:t xml:space="preserve">The 36 prompts are issued in a randomised order, re-randomised for each replicate, with the seed for each shuffle recorded. Prompts from the same family, arm or language are not issued consecutively as a block.</w:t>
      </w:r>
    </w:p>
    <w:p>
      <w:pPr>
        <w:pStyle w:val="ListParagraph"/>
        <w:numPr>
          <w:ilvl w:val="0"/>
          <w:numId w:val="1"/>
        </w:numPr>
        <w:spacing w:after="90" w:line="276"/>
      </w:pPr>
      <w:r>
        <w:rPr>
          <w:rFonts w:ascii="Calibri" w:cs="Nirmala UI" w:hAnsi="Calibri"/>
          <w:sz w:val="21"/>
          <w:szCs w:val="21"/>
        </w:rPr>
        <w:t xml:space="preserve">Randomisation matters because provider-side conditions drift — load, routing, silent minor updates. Under block ordering that drift would be confounded with condition; under randomisation it becomes noise spread evenly across arms.</w:t>
      </w:r>
    </w:p>
    <w:p>
      <w:pPr>
        <w:pStyle w:val="ListParagraph"/>
        <w:numPr>
          <w:ilvl w:val="0"/>
          <w:numId w:val="1"/>
        </w:numPr>
        <w:spacing w:after="90" w:line="276"/>
      </w:pPr>
      <w:r>
        <w:rPr>
          <w:rFonts w:ascii="Calibri" w:cs="Nirmala UI" w:hAnsi="Calibri"/>
          <w:sz w:val="21"/>
          <w:szCs w:val="21"/>
        </w:rPr>
        <w:t xml:space="preserve">Replicates are spread across at least two calendar days and across different times of day, with timestamps recorded, so that a time-of-day or single-window artefact is detectable rather than invisible.</w:t>
      </w:r>
    </w:p>
    <w:p>
      <w:pPr>
        <w:pStyle w:val="ListParagraph"/>
        <w:numPr>
          <w:ilvl w:val="0"/>
          <w:numId w:val="1"/>
        </w:numPr>
        <w:spacing w:after="90" w:line="276"/>
      </w:pPr>
      <w:r>
        <w:rPr>
          <w:rFonts w:ascii="Calibri" w:cs="Nirmala UI" w:hAnsi="Calibri"/>
          <w:sz w:val="21"/>
          <w:szCs w:val="21"/>
        </w:rPr>
        <w:t xml:space="preserve">Concurrency is capped at the provider’s documented limit and calls are spaced to avoid rate-limit rejections; a rejection followed by a retry is a different event from a first-attempt answer, and both are logged.</w:t>
      </w:r>
    </w:p>
    <w:p>
      <w:pPr>
        <w:pStyle w:val="Heading3"/>
        <w:spacing w:after="100" w:before="220"/>
      </w:pPr>
      <w:r>
        <w:t xml:space="preserve">C.7.3  Sampling conditions</w:t>
      </w:r>
    </w:p>
    <w:p>
      <w:pPr>
        <w:pStyle w:val="ListParagraph"/>
        <w:numPr>
          <w:ilvl w:val="0"/>
          <w:numId w:val="1"/>
        </w:numPr>
        <w:spacing w:after="90" w:line="276"/>
      </w:pPr>
      <w:r>
        <w:rPr>
          <w:rFonts w:ascii="Calibri" w:cs="Nirmala UI" w:hAnsi="Calibri"/>
          <w:b/>
          <w:bCs/>
          <w:sz w:val="21"/>
          <w:szCs w:val="21"/>
        </w:rPr>
        <w:t xml:space="preserve">Default condition — </w:t>
      </w:r>
      <w:r>
        <w:rPr>
          <w:rFonts w:ascii="Calibri" w:cs="Nirmala UI" w:hAnsi="Calibri"/>
          <w:sz w:val="21"/>
          <w:szCs w:val="21"/>
        </w:rPr>
        <w:t xml:space="preserve">eight elicitations per prompt with temperature, top-p and all other sampling parameters left unset, so the provider default applies. The defaults in force are read from the provider’s documentation on the run date and recorded in the manifest; they are not assumed from memory, and they are not silently substituted with a hand-set value that happens to match.</w:t>
      </w:r>
    </w:p>
    <w:p>
      <w:pPr>
        <w:pStyle w:val="ListParagraph"/>
        <w:numPr>
          <w:ilvl w:val="0"/>
          <w:numId w:val="1"/>
        </w:numPr>
        <w:spacing w:after="90" w:line="276"/>
      </w:pPr>
      <w:r>
        <w:rPr>
          <w:rFonts w:ascii="Calibri" w:cs="Nirmala UI" w:hAnsi="Calibri"/>
          <w:b/>
          <w:bCs/>
          <w:sz w:val="21"/>
          <w:szCs w:val="21"/>
        </w:rPr>
        <w:t xml:space="preserve">Determinism condition — </w:t>
      </w:r>
      <w:r>
        <w:rPr>
          <w:rFonts w:ascii="Calibri" w:cs="Nirmala UI" w:hAnsi="Calibri"/>
          <w:sz w:val="21"/>
          <w:szCs w:val="21"/>
        </w:rPr>
        <w:t xml:space="preserve">one elicitation per prompt at temperature zero, top-p at 1, with a fixed seed where the endpoint supports seeding. This is run once. Repeated sampling at temperature zero would inflate the apparent stability of the bank by near-degenerate repetition.</w:t>
      </w:r>
    </w:p>
    <w:p>
      <w:pPr>
        <w:pStyle w:val="ListParagraph"/>
        <w:numPr>
          <w:ilvl w:val="0"/>
          <w:numId w:val="1"/>
        </w:numPr>
        <w:spacing w:after="90" w:line="276"/>
      </w:pPr>
      <w:r>
        <w:rPr>
          <w:rFonts w:ascii="Calibri" w:cs="Nirmala UI" w:hAnsi="Calibri"/>
          <w:sz w:val="21"/>
          <w:szCs w:val="21"/>
        </w:rPr>
        <w:t xml:space="preserve">Maximum output length is set generously and identically across models, and is recorded. A response truncated at the limit is marked as truncated and is not treated as a complete answer.</w:t>
      </w:r>
    </w:p>
    <w:p>
      <w:pPr>
        <w:pStyle w:val="ListParagraph"/>
        <w:numPr>
          <w:ilvl w:val="0"/>
          <w:numId w:val="1"/>
        </w:numPr>
        <w:spacing w:after="90" w:line="276"/>
      </w:pPr>
      <w:r>
        <w:rPr>
          <w:rFonts w:ascii="Calibri" w:cs="Nirmala UI" w:hAnsi="Calibri"/>
          <w:sz w:val="21"/>
          <w:szCs w:val="21"/>
        </w:rPr>
        <w:t xml:space="preserve">No other parameter is set on any call — no frequency or presence penalty, no stop sequences, no logit bias, no reasoning-effort or verbosity control unless the endpoint has no unset state, in which case the value used is recorded and held constant across all prompts for that model.</w:t>
      </w:r>
    </w:p>
    <w:p>
      <w:pPr>
        <w:pStyle w:val="Heading3"/>
        <w:spacing w:after="100" w:before="220"/>
      </w:pPr>
      <w:r>
        <w:t xml:space="preserve">C.7.4  Turn policy and non-answers</w:t>
      </w:r>
    </w:p>
    <w:p>
      <w:pPr>
        <w:pStyle w:val="ListParagraph"/>
        <w:numPr>
          <w:ilvl w:val="0"/>
          <w:numId w:val="1"/>
        </w:numPr>
        <w:spacing w:after="90" w:line="276"/>
      </w:pPr>
      <w:r>
        <w:rPr>
          <w:rFonts w:ascii="Calibri" w:cs="Nirmala UI" w:hAnsi="Calibri"/>
          <w:sz w:val="21"/>
          <w:szCs w:val="21"/>
        </w:rPr>
        <w:t xml:space="preserve">Single turn only. Whatever comes back is the datum.</w:t>
      </w:r>
    </w:p>
    <w:p>
      <w:pPr>
        <w:pStyle w:val="ListParagraph"/>
        <w:numPr>
          <w:ilvl w:val="0"/>
          <w:numId w:val="1"/>
        </w:numPr>
        <w:spacing w:after="90" w:line="276"/>
      </w:pPr>
      <w:r>
        <w:rPr>
          <w:rFonts w:ascii="Calibri" w:cs="Nirmala UI" w:hAnsi="Calibri"/>
          <w:b/>
          <w:bCs/>
          <w:sz w:val="21"/>
          <w:szCs w:val="21"/>
        </w:rPr>
        <w:t xml:space="preserve">Clarification questions. </w:t>
      </w:r>
      <w:r>
        <w:rPr>
          <w:rFonts w:ascii="Calibri" w:cs="Nirmala UI" w:hAnsi="Calibri"/>
          <w:sz w:val="21"/>
          <w:szCs w:val="21"/>
        </w:rPr>
        <w:t xml:space="preserve">If the model asks what is meant rather than answering, the turn is logged in full and the session is closed. No clarification is supplied, because supplying one would prime the answer that follows. These are counted as a distinct event class and reported as a rate per family — a model that will not commit without being told more has told us something.</w:t>
      </w:r>
    </w:p>
    <w:p>
      <w:pPr>
        <w:pStyle w:val="ListParagraph"/>
        <w:numPr>
          <w:ilvl w:val="0"/>
          <w:numId w:val="1"/>
        </w:numPr>
        <w:spacing w:after="90" w:line="276"/>
      </w:pPr>
      <w:r>
        <w:rPr>
          <w:rFonts w:ascii="Calibri" w:cs="Nirmala UI" w:hAnsi="Calibri"/>
          <w:b/>
          <w:bCs/>
          <w:sz w:val="21"/>
          <w:szCs w:val="21"/>
        </w:rPr>
        <w:t xml:space="preserve">Refusals and filter events. </w:t>
      </w:r>
      <w:r>
        <w:rPr>
          <w:rFonts w:ascii="Calibri" w:cs="Nirmala UI" w:hAnsi="Calibri"/>
          <w:sz w:val="21"/>
          <w:szCs w:val="21"/>
        </w:rPr>
        <w:t xml:space="preserve">Logged verbatim together with any error code or safety-category label the endpoint returns. Counted separately from clarification questions.</w:t>
      </w:r>
    </w:p>
    <w:p>
      <w:pPr>
        <w:pStyle w:val="ListParagraph"/>
        <w:numPr>
          <w:ilvl w:val="0"/>
          <w:numId w:val="1"/>
        </w:numPr>
        <w:spacing w:after="90" w:line="276"/>
      </w:pPr>
      <w:r>
        <w:rPr>
          <w:rFonts w:ascii="Calibri" w:cs="Nirmala UI" w:hAnsi="Calibri"/>
          <w:b/>
          <w:bCs/>
          <w:sz w:val="21"/>
          <w:szCs w:val="21"/>
        </w:rPr>
        <w:t xml:space="preserve">Empty responses and transport errors. </w:t>
      </w:r>
      <w:r>
        <w:rPr>
          <w:rFonts w:ascii="Calibri" w:cs="Nirmala UI" w:hAnsi="Calibri"/>
          <w:sz w:val="21"/>
          <w:szCs w:val="21"/>
        </w:rPr>
        <w:t xml:space="preserve">Retried up to three times with exponential backoff. Every attempt, including the failures, is written to the log with its own record; the retry is not allowed to overwrite the failure it followed.</w:t>
      </w:r>
    </w:p>
    <w:p>
      <w:pPr>
        <w:pStyle w:val="ListParagraph"/>
        <w:numPr>
          <w:ilvl w:val="0"/>
          <w:numId w:val="1"/>
        </w:numPr>
        <w:spacing w:after="90" w:line="276"/>
      </w:pPr>
      <w:r>
        <w:rPr>
          <w:rFonts w:ascii="Calibri" w:cs="Nirmala UI" w:hAnsi="Calibri"/>
          <w:b/>
          <w:bCs/>
          <w:sz w:val="21"/>
          <w:szCs w:val="21"/>
        </w:rPr>
        <w:t xml:space="preserve">No discretionary retry. </w:t>
      </w:r>
      <w:r>
        <w:rPr>
          <w:rFonts w:ascii="Calibri" w:cs="Nirmala UI" w:hAnsi="Calibri"/>
          <w:sz w:val="21"/>
          <w:szCs w:val="21"/>
        </w:rPr>
        <w:t xml:space="preserve">A response is never re-elicited because it is short, evasive, off-topic, or disappointing. Retries occur only on transport failure, empty body, or provider error — never on content.</w:t>
      </w:r>
    </w:p>
    <w:p>
      <w:pPr>
        <w:pStyle w:val="Heading3"/>
        <w:spacing w:after="100" w:before="220"/>
      </w:pPr>
      <w:r>
        <w:t xml:space="preserve">C.7.5  Encoding and prompt integrity</w:t>
      </w:r>
    </w:p>
    <w:p>
      <w:pPr>
        <w:pStyle w:val="ListParagraph"/>
        <w:numPr>
          <w:ilvl w:val="0"/>
          <w:numId w:val="1"/>
        </w:numPr>
        <w:spacing w:after="90" w:line="276"/>
      </w:pPr>
      <w:r>
        <w:rPr>
          <w:rFonts w:ascii="Calibri" w:cs="Nirmala UI" w:hAnsi="Calibri"/>
          <w:sz w:val="21"/>
          <w:szCs w:val="21"/>
        </w:rPr>
        <w:t xml:space="preserve">The 36 prompts are held in a single UTF-8 JSON file, which is the authoritative source. The Devanagari strings in this appendix are reproductions of it, not the other way round.</w:t>
      </w:r>
    </w:p>
    <w:p>
      <w:pPr>
        <w:pStyle w:val="ListParagraph"/>
        <w:numPr>
          <w:ilvl w:val="0"/>
          <w:numId w:val="1"/>
        </w:numPr>
        <w:spacing w:after="90" w:line="276"/>
      </w:pPr>
      <w:r>
        <w:rPr>
          <w:rFonts w:ascii="Calibri" w:cs="Nirmala UI" w:hAnsi="Calibri"/>
          <w:sz w:val="21"/>
          <w:szCs w:val="21"/>
        </w:rPr>
        <w:t xml:space="preserve">Text is stored in Unicode NFC and transmitted without further normalisation, case-folding, whitespace trimming or punctuation substitution. Devanagari nukta and matra sequences are not silently recomposed.</w:t>
      </w:r>
    </w:p>
    <w:p>
      <w:pPr>
        <w:pStyle w:val="ListParagraph"/>
        <w:numPr>
          <w:ilvl w:val="0"/>
          <w:numId w:val="1"/>
        </w:numPr>
        <w:spacing w:after="90" w:line="276"/>
      </w:pPr>
      <w:r>
        <w:rPr>
          <w:rFonts w:ascii="Calibri" w:cs="Nirmala UI" w:hAnsi="Calibri"/>
          <w:sz w:val="21"/>
          <w:szCs w:val="21"/>
        </w:rPr>
        <w:t xml:space="preserve">The prompt file is hashed (SHA-256) before the first call and the hash is written into the run manifest and into every log record. Any change to the bank produces a new hash and a new version number; elicitations made under different hashes are never pooled.</w:t>
      </w:r>
    </w:p>
    <w:p>
      <w:pPr>
        <w:pStyle w:val="ListParagraph"/>
        <w:numPr>
          <w:ilvl w:val="0"/>
          <w:numId w:val="1"/>
        </w:numPr>
        <w:spacing w:after="90" w:line="276"/>
      </w:pPr>
      <w:r>
        <w:rPr>
          <w:rFonts w:ascii="Calibri" w:cs="Nirmala UI" w:hAnsi="Calibri"/>
          <w:sz w:val="21"/>
          <w:szCs w:val="21"/>
        </w:rPr>
        <w:t xml:space="preserve">The bank is frozen before the first call. If a prompt is found to be defective mid-run, the run is stopped rather than patched in flight.</w:t>
      </w:r>
    </w:p>
    <w:p>
      <w:pPr>
        <w:pStyle w:val="Heading3"/>
        <w:spacing w:after="100" w:before="220"/>
      </w:pPr>
      <w:r>
        <w:t xml:space="preserve">C.7.6  Version pinning</w:t>
      </w:r>
    </w:p>
    <w:p>
      <w:pPr>
        <w:pStyle w:val="ListParagraph"/>
        <w:numPr>
          <w:ilvl w:val="0"/>
          <w:numId w:val="1"/>
        </w:numPr>
        <w:spacing w:after="90" w:line="276"/>
      </w:pPr>
      <w:r>
        <w:rPr>
          <w:rFonts w:ascii="Calibri" w:cs="Nirmala UI" w:hAnsi="Calibri"/>
          <w:sz w:val="21"/>
          <w:szCs w:val="21"/>
        </w:rPr>
        <w:t xml:space="preserve">The full model identifier and version string returned by the endpoint is recorded on every individual call, not once at the start of the run.</w:t>
      </w:r>
    </w:p>
    <w:p>
      <w:pPr>
        <w:pStyle w:val="ListParagraph"/>
        <w:numPr>
          <w:ilvl w:val="0"/>
          <w:numId w:val="1"/>
        </w:numPr>
        <w:spacing w:after="90" w:line="276"/>
      </w:pPr>
      <w:r>
        <w:rPr>
          <w:rFonts w:ascii="Calibri" w:cs="Nirmala UI" w:hAnsi="Calibri"/>
          <w:sz w:val="21"/>
          <w:szCs w:val="21"/>
        </w:rPr>
        <w:t xml:space="preserve">If the version string changes partway through, the run is halted. Elicitations already collected are tagged with the version under which they were obtained and are reported separately; they are not pooled across the boundary, and the change is reported as an event in its own right.</w:t>
      </w:r>
    </w:p>
    <w:p>
      <w:pPr>
        <w:pStyle w:val="ListParagraph"/>
        <w:numPr>
          <w:ilvl w:val="0"/>
          <w:numId w:val="1"/>
        </w:numPr>
        <w:spacing w:after="90" w:line="276"/>
      </w:pPr>
      <w:r>
        <w:rPr>
          <w:rFonts w:ascii="Calibri" w:cs="Nirmala UI" w:hAnsi="Calibri"/>
          <w:sz w:val="21"/>
          <w:szCs w:val="21"/>
        </w:rPr>
        <w:t xml:space="preserve">The provider, endpoint URL, API version header, region if applicable, and the client library version are recorded in the manifest, since any of these can change behaviour without the model identifier moving.</w:t>
      </w:r>
    </w:p>
    <w:p>
      <w:pPr>
        <w:pStyle w:val="Heading3"/>
        <w:spacing w:after="100" w:before="220"/>
      </w:pPr>
      <w:r>
        <w:t xml:space="preserve">C.7.7  Log schema</w:t>
      </w:r>
    </w:p>
    <w:p>
      <w:pPr>
        <w:spacing w:after="120" w:before="0" w:line="276"/>
      </w:pPr>
      <w:r>
        <w:rPr>
          <w:rFonts w:ascii="Calibri" w:cs="Nirmala UI" w:hAnsi="Calibri"/>
          <w:sz w:val="21"/>
          <w:szCs w:val="21"/>
        </w:rPr>
        <w:t xml:space="preserve">One append-only JSONL record per call, written before the next call is issued. Records are never edited; a correction is a new record referring to the old one by its identifier.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cantSplit/>
          <w:tblHeader/>
        </w:trPr>
        <w:tc>
          <w:tcPr>
            <w:tcW w:type="dxa" w:w="25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Field</w:t>
            </w:r>
          </w:p>
        </w:tc>
        <w:tc>
          <w:tcPr>
            <w:tcW w:type="dxa" w:w="15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Type</w:t>
            </w:r>
          </w:p>
        </w:tc>
        <w:tc>
          <w:tcPr>
            <w:tcW w:type="dxa" w:w="5000"/>
            <w:shd w:fill="EFEFEF" w:color="auto" w:val="clear"/>
            <w:tcMar>
              <w:top w:type="dxa" w:w="60"/>
              <w:left w:type="dxa" w:w="90"/>
              <w:bottom w:type="dxa" w:w="60"/>
              <w:right w:type="dxa" w:w="90"/>
            </w:tcMar>
          </w:tcPr>
          <w:p>
            <w:pPr>
              <w:spacing w:after="0" w:line="240"/>
            </w:pPr>
            <w:r>
              <w:rPr>
                <w:rFonts w:ascii="Calibri" w:cs="Nirmala UI" w:hAnsi="Calibri"/>
                <w:b/>
                <w:bCs/>
                <w:sz w:val="19"/>
                <w:szCs w:val="19"/>
              </w:rPr>
              <w:t xml:space="preserve">Content</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record_id</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UUID for this call</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prompt_id</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e.g. K-B1b-HI</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family / form / arm</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K-B1 / Boundary / under test</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language</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EN, HI, or HG</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paraphrase</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a or b</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prompt_text</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The exact bytes sent</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prompt_bank_sha256</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Hash of the frozen bank file</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condition</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default or determinism</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replicate_index</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integer</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1–8 for default; 1 for determinism</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shuffle_seed</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integer</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Seed for this replicate’s ordering</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provider / endpoint</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Provider name and endpoint URL</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model_id / version_string</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As returned by the endpoint on this call</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parameters</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object</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Every parameter sent, and those left unset marked as unset</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response_text</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Verbatim, unedited, untrimmed</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finish_reason</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Including truncation</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event_class</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answer, clarification, refusal, filter, empty, error</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attempt_index</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integer</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1 for first attempt; higher for retries after failure</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error_code</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Provider error or safety label, where returned</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token_counts</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object</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Prompt and completion tokens as reported</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latency_ms</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integer</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Wall-clock time for the call</w:t>
            </w:r>
          </w:p>
        </w:tc>
      </w:tr>
      <w:tr>
        <w:trPr>
          <w:cantSplit/>
        </w:trPr>
        <w:tc>
          <w:tcPr>
            <w:tcW w:type="dxa" w:w="2500"/>
            <w:tcMar>
              <w:top w:type="dxa" w:w="60"/>
              <w:left w:type="dxa" w:w="90"/>
              <w:bottom w:type="dxa" w:w="60"/>
              <w:right w:type="dxa" w:w="90"/>
            </w:tcMar>
          </w:tcPr>
          <w:p>
            <w:pPr>
              <w:spacing w:after="0" w:line="240"/>
            </w:pPr>
            <w:r>
              <w:rPr>
                <w:rFonts w:ascii="Consolas" w:cs="Nirmala UI" w:hAnsi="Consolas"/>
                <w:b w:val="false"/>
                <w:bCs w:val="false"/>
                <w:sz w:val="19"/>
                <w:szCs w:val="19"/>
              </w:rPr>
              <w:t xml:space="preserve">timestamp_utc</w:t>
            </w:r>
          </w:p>
        </w:tc>
        <w:tc>
          <w:tcPr>
            <w:tcW w:type="dxa" w:w="1500"/>
            <w:tcMar>
              <w:top w:type="dxa" w:w="60"/>
              <w:left w:type="dxa" w:w="90"/>
              <w:bottom w:type="dxa" w:w="60"/>
              <w:right w:type="dxa" w:w="90"/>
            </w:tcMar>
          </w:tcPr>
          <w:p>
            <w:pPr>
              <w:spacing w:after="0" w:line="240"/>
            </w:pPr>
            <w:r>
              <w:rPr>
                <w:rFonts w:ascii="Calibri" w:cs="Nirmala UI" w:hAnsi="Calibri"/>
                <w:b w:val="false"/>
                <w:bCs w:val="false"/>
                <w:sz w:val="19"/>
                <w:szCs w:val="19"/>
              </w:rPr>
              <w:t xml:space="preserve">string</w:t>
            </w:r>
          </w:p>
        </w:tc>
        <w:tc>
          <w:tcPr>
            <w:tcW w:type="dxa" w:w="5000"/>
            <w:tcMar>
              <w:top w:type="dxa" w:w="60"/>
              <w:left w:type="dxa" w:w="90"/>
              <w:bottom w:type="dxa" w:w="60"/>
              <w:right w:type="dxa" w:w="90"/>
            </w:tcMar>
          </w:tcPr>
          <w:p>
            <w:pPr>
              <w:spacing w:after="0" w:line="240"/>
            </w:pPr>
            <w:r>
              <w:rPr>
                <w:rFonts w:ascii="Calibri" w:cs="Nirmala UI" w:hAnsi="Calibri"/>
                <w:b w:val="false"/>
                <w:bCs w:val="false"/>
                <w:sz w:val="19"/>
                <w:szCs w:val="19"/>
              </w:rPr>
              <w:t xml:space="preserve">ISO 8601, UTC</w:t>
            </w:r>
          </w:p>
        </w:tc>
      </w:tr>
    </w:tbl>
    <w:p>
      <w:pPr>
        <w:spacing w:after="240" w:before="90"/>
      </w:pPr>
      <w:r>
        <w:rPr>
          <w:rFonts w:ascii="Calibri" w:cs="Nirmala UI" w:hAnsi="Calibri"/>
          <w:i/>
          <w:iCs/>
          <w:sz w:val="18"/>
          <w:szCs w:val="18"/>
        </w:rPr>
        <w:t xml:space="preserve">Table C.2: Log record. The log is the deliverable; the reported counts are derived from it and are reproducible by a third party without rerunning the models.</w:t>
      </w:r>
    </w:p>
    <w:p>
      <w:pPr>
        <w:pStyle w:val="Heading3"/>
        <w:spacing w:after="100" w:before="220"/>
      </w:pPr>
      <w:r>
        <w:t xml:space="preserve">C.7.8  What the protocol deliberately excludes</w:t>
      </w:r>
    </w:p>
    <w:p>
      <w:pPr>
        <w:pStyle w:val="ListParagraph"/>
        <w:numPr>
          <w:ilvl w:val="0"/>
          <w:numId w:val="1"/>
        </w:numPr>
        <w:spacing w:after="90" w:line="276"/>
      </w:pPr>
      <w:r>
        <w:rPr>
          <w:rFonts w:ascii="Calibri" w:cs="Nirmala UI" w:hAnsi="Calibri"/>
          <w:sz w:val="21"/>
          <w:szCs w:val="21"/>
        </w:rPr>
        <w:t xml:space="preserve">No prompt engineering. Prompts are not tuned to produce clearer, longer, or more codable answers.</w:t>
      </w:r>
    </w:p>
    <w:p>
      <w:pPr>
        <w:pStyle w:val="ListParagraph"/>
        <w:numPr>
          <w:ilvl w:val="0"/>
          <w:numId w:val="1"/>
        </w:numPr>
        <w:spacing w:after="90" w:line="276"/>
      </w:pPr>
      <w:r>
        <w:rPr>
          <w:rFonts w:ascii="Calibri" w:cs="Nirmala UI" w:hAnsi="Calibri"/>
          <w:sz w:val="21"/>
          <w:szCs w:val="21"/>
        </w:rPr>
        <w:t xml:space="preserve">No selection. Every elicitation obtained enters the log and the counts. Nothing is dropped for being unhelpful.</w:t>
      </w:r>
    </w:p>
    <w:p>
      <w:pPr>
        <w:pStyle w:val="ListParagraph"/>
        <w:numPr>
          <w:ilvl w:val="0"/>
          <w:numId w:val="1"/>
        </w:numPr>
        <w:spacing w:after="90" w:line="276"/>
      </w:pPr>
      <w:r>
        <w:rPr>
          <w:rFonts w:ascii="Calibri" w:cs="Nirmala UI" w:hAnsi="Calibri"/>
          <w:sz w:val="21"/>
          <w:szCs w:val="21"/>
        </w:rPr>
        <w:t xml:space="preserve">No follow-up questions, no probing of an ambiguous answer, no asking the model what it meant.</w:t>
      </w:r>
    </w:p>
    <w:p>
      <w:pPr>
        <w:pStyle w:val="ListParagraph"/>
        <w:numPr>
          <w:ilvl w:val="0"/>
          <w:numId w:val="1"/>
        </w:numPr>
        <w:spacing w:after="90" w:line="276"/>
      </w:pPr>
      <w:r>
        <w:rPr>
          <w:rFonts w:ascii="Calibri" w:cs="Nirmala UI" w:hAnsi="Calibri"/>
          <w:sz w:val="21"/>
          <w:szCs w:val="21"/>
        </w:rPr>
        <w:t xml:space="preserve">No mid-run adjustment of parameters, ordering, or the bank in response to results.</w:t>
      </w:r>
    </w:p>
    <w:p>
      <w:pPr>
        <w:pStyle w:val="ListParagraph"/>
        <w:numPr>
          <w:ilvl w:val="0"/>
          <w:numId w:val="1"/>
        </w:numPr>
        <w:spacing w:after="90" w:line="276"/>
      </w:pPr>
      <w:r>
        <w:rPr>
          <w:rFonts w:ascii="Calibri" w:cs="Nirmala UI" w:hAnsi="Calibri"/>
          <w:sz w:val="21"/>
          <w:szCs w:val="21"/>
        </w:rPr>
        <w:t xml:space="preserve">No pooling across model versions, across bank hashes, or across the default and determinism conditions.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hAnsi="Calibri"/>
        <w:color w:val="666666"/>
        <w:sz w:val="17"/>
        <w:szCs w:val="17"/>
      </w:rPr>
      <w:t xml:space="preserve">Appendix C — Probe Bank (Kinship)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rFonts w:ascii="Calibri" w:cs="Calibri" w:eastAsia="Calibri" w:hAnsi="Calibri"/>
      <w:b/>
      <w:bCs/>
      <w:i/>
      <w:i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2026-08-13T09:18:17.497Z</dcterms:created>
  <dcterms:modified xsi:type="dcterms:W3CDTF">2026-08-13T09:18:17.510Z</dcterms:modified>
</cp:coreProperties>
</file>

<file path=docProps/custom.xml><?xml version="1.0" encoding="utf-8"?>
<Properties xmlns="http://schemas.openxmlformats.org/officeDocument/2006/custom-properties" xmlns:vt="http://schemas.openxmlformats.org/officeDocument/2006/docPropsVTypes"/>
</file>