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SWTID-2026-3878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Implementing Client Scripts and UI Policies on the ServiceNow Incident 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>
      <w:pPr>
        <w:keepNext/>
        <w:spacing w:after="100"/>
      </w:pPr>
      <w:r>
        <w:rPr>
          <w:rFonts w:ascii="Arial" w:cs="Arial" w:eastAsia="Arial" w:hAnsi="Arial"/>
          <w:b w:val="1"/>
          <w:sz w:val="22"/>
          <w:szCs w:val="22"/>
        </w:rPr>
        <w:t xml:space="preserve">Architecture of our project: ServiceNow Incident form</w:t>
      </w:r>
    </w:p>
    <w:p>
      <w:pPr>
        <w:spacing w:after="120"/>
        <w:jc w:val="center"/>
      </w:pPr>
      <w:r>
        <w:drawing>
          <wp:inline distT="0" distB="0" distL="0" distR="0">
            <wp:extent cx="5120640" cy="2558593"/>
            <wp:docPr id="9101" name="Architecture" descr="Technical architecture of UI Policies and Client Scripts on the ServiceNow Incident form"/>
            <a:graphic>
              <a:graphicData uri="http://schemas.openxmlformats.org/drawingml/2006/picture">
                <pic:pic>
                  <pic:nvPicPr>
                    <pic:cNvPr id="9101" name="arch_project.png"/>
                    <pic:cNvPicPr/>
                  </pic:nvPicPr>
                  <pic:blipFill>
                    <a:blip r:embed="rIdARCH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5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C">
      <w:pPr>
        <w:keepNext/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>
            <w:pPr>
              <w:spacing w:after="40"/>
            </w:pPr>
            <w:r>
              <w:rPr>
                <w:rFonts w:ascii="Arial" w:cs="Arial" w:eastAsia="Arial" w:hAnsi="Arial"/>
                <w:rtl w:val="0"/>
              </w:rPr>
              <w:t xml:space="preserve">The Incident form where users enter data and see fields react as they work</w:t>
            </w:r>
          </w:p>
        </w:tc>
        <w:tc>
          <w:tcPr/>
          <w:p>
            <w:pPr>
              <w:spacing w:after="40"/>
            </w:pPr>
            <w:r>
              <w:rPr>
                <w:rFonts w:ascii="Arial" w:cs="Arial" w:eastAsia="Arial" w:hAnsi="Arial"/>
                <w:rtl w:val="0"/>
              </w:rPr>
              <w:t xml:space="preserve">ServiceNow Incident form (HTML, CSS, JavaScript)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>
            <w:pPr>
              <w:spacing w:after="40"/>
            </w:pPr>
            <w:r>
              <w:rPr>
                <w:rFonts w:ascii="Arial" w:cs="Arial" w:eastAsia="Arial" w:hAnsi="Arial"/>
                <w:rtl w:val="0"/>
              </w:rPr>
              <w:t xml:space="preserve">UI Policy on the Incident table makes fields mandatory, read-only or visible when a condition is met</w:t>
            </w:r>
          </w:p>
        </w:tc>
        <w:tc>
          <w:tcPr/>
          <w:p>
            <w:pPr>
              <w:spacing w:after="40"/>
            </w:pPr>
            <w:r>
              <w:rPr>
                <w:rFonts w:ascii="Arial" w:cs="Arial" w:eastAsia="Arial" w:hAnsi="Arial"/>
                <w:rtl w:val="0"/>
              </w:rPr>
              <w:t xml:space="preserve">ServiceNow UI Policy and UI Policy Actions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>
            <w:pPr>
              <w:spacing w:after="40"/>
            </w:pPr>
            <w:r>
              <w:rPr>
                <w:rFonts w:ascii="Arial" w:cs="Arial" w:eastAsia="Arial" w:hAnsi="Arial"/>
                <w:rtl w:val="0"/>
              </w:rPr>
              <w:t xml:space="preserve">Client Script runs when the State field changes and shows or clears field messages</w:t>
            </w:r>
          </w:p>
        </w:tc>
        <w:tc>
          <w:tcPr/>
          <w:p>
            <w:pPr>
              <w:spacing w:after="40"/>
            </w:pPr>
            <w:r>
              <w:rPr>
                <w:rFonts w:ascii="Arial" w:cs="Arial" w:eastAsia="Arial" w:hAnsi="Arial"/>
                <w:rtl w:val="0"/>
              </w:rPr>
              <w:t xml:space="preserve">Client Script (onChange), JavaScript, g_form API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>
            <w:pPr>
              <w:spacing w:after="40"/>
            </w:pPr>
            <w:r>
              <w:rPr>
                <w:rFonts w:ascii="Arial" w:cs="Arial" w:eastAsia="Arial" w:hAnsi="Arial"/>
                <w:rtl w:val="0"/>
              </w:rPr>
              <w:t xml:space="preserve">Server-side rules so the same checks apply to imports and API updates (future scope)</w:t>
            </w:r>
          </w:p>
        </w:tc>
        <w:tc>
          <w:tcPr/>
          <w:p>
            <w:pPr>
              <w:spacing w:after="40"/>
            </w:pPr>
            <w:r>
              <w:rPr>
                <w:rFonts w:ascii="Arial" w:cs="Arial" w:eastAsia="Arial" w:hAnsi="Arial"/>
                <w:rtl w:val="0"/>
              </w:rPr>
              <w:t xml:space="preserve">Data Policy / Business Rule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>
            <w:pPr>
              <w:spacing w:after="40"/>
            </w:pPr>
            <w:r>
              <w:rPr>
                <w:rFonts w:ascii="Arial" w:cs="Arial" w:eastAsia="Arial" w:hAnsi="Arial"/>
                <w:rtl w:val="0"/>
              </w:rPr>
              <w:t xml:space="preserve">Stores Incident records, including fields such as State, Caller and Hold reason</w:t>
            </w:r>
          </w:p>
        </w:tc>
        <w:tc>
          <w:tcPr/>
          <w:p>
            <w:pPr>
              <w:spacing w:after="40"/>
            </w:pPr>
            <w:r>
              <w:rPr>
                <w:rFonts w:ascii="Arial" w:cs="Arial" w:eastAsia="Arial" w:hAnsi="Arial"/>
                <w:rtl w:val="0"/>
              </w:rPr>
              <w:t xml:space="preserve">ServiceNow Incident [incident] table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>
            <w:pPr>
              <w:spacing w:after="40"/>
            </w:pPr>
            <w:r>
              <w:rPr>
                <w:rFonts w:ascii="Arial" w:cs="Arial" w:eastAsia="Arial" w:hAnsi="Arial"/>
                <w:rtl w:val="0"/>
              </w:rPr>
              <w:t xml:space="preserve">ServiceNow instance in the cloud holds and serves the data</w:t>
            </w:r>
          </w:p>
        </w:tc>
        <w:tc>
          <w:tcPr/>
          <w:p>
            <w:pPr>
              <w:spacing w:after="40"/>
            </w:pPr>
            <w:r>
              <w:rPr>
                <w:rFonts w:ascii="Arial" w:cs="Arial" w:eastAsia="Arial" w:hAnsi="Arial"/>
                <w:rtl w:val="0"/>
              </w:rPr>
              <w:t xml:space="preserve">ServiceNow cloud instance (Personal Developer Instance)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>
            <w:pPr>
              <w:spacing w:after="40"/>
            </w:pPr>
            <w:r>
              <w:rPr>
                <w:rFonts w:ascii="Arial" w:cs="Arial" w:eastAsia="Arial" w:hAnsi="Arial"/>
                <w:rtl w:val="0"/>
              </w:rPr>
              <w:t xml:space="preserve">Attachments added to incidents, if any</w:t>
            </w:r>
          </w:p>
        </w:tc>
        <w:tc>
          <w:tcPr/>
          <w:p>
            <w:pPr>
              <w:spacing w:after="40"/>
            </w:pPr>
            <w:r>
              <w:rPr>
                <w:rFonts w:ascii="Arial" w:cs="Arial" w:eastAsia="Arial" w:hAnsi="Arial"/>
                <w:rtl w:val="0"/>
              </w:rPr>
              <w:t xml:space="preserve">ServiceNow attachment storage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>
            <w:pPr>
              <w:spacing w:after="40"/>
            </w:pPr>
            <w:r>
              <w:rPr>
                <w:rFonts w:ascii="Arial" w:cs="Arial" w:eastAsia="Arial" w:hAnsi="Arial"/>
                <w:rtl w:val="0"/>
              </w:rPr>
              <w:t xml:space="preserve">Not used in this project</w:t>
            </w:r>
          </w:p>
        </w:tc>
        <w:tc>
          <w:tcPr/>
          <w:p>
            <w:pPr>
              <w:spacing w:after="40"/>
            </w:pPr>
            <w:r>
              <w:rPr>
                <w:rFonts w:ascii="Arial" w:cs="Arial" w:eastAsia="Arial" w:hAnsi="Arial"/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>
            <w:pPr>
              <w:spacing w:after="40"/>
            </w:pPr>
            <w:r>
              <w:rPr>
                <w:rFonts w:ascii="Arial" w:cs="Arial" w:eastAsia="Arial" w:hAnsi="Arial"/>
                <w:rtl w:val="0"/>
              </w:rPr>
              <w:t xml:space="preserve">Not used in this project</w:t>
            </w:r>
          </w:p>
        </w:tc>
        <w:tc>
          <w:tcPr/>
          <w:p>
            <w:pPr>
              <w:spacing w:after="40"/>
            </w:pPr>
            <w:r>
              <w:rPr>
                <w:rFonts w:ascii="Arial" w:cs="Arial" w:eastAsia="Arial" w:hAnsi="Arial"/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>
            <w:pPr>
              <w:spacing w:after="40"/>
            </w:pPr>
            <w:r>
              <w:rPr>
                <w:rFonts w:ascii="Arial" w:cs="Arial" w:eastAsia="Arial" w:hAnsi="Arial"/>
                <w:rtl w:val="0"/>
              </w:rPr>
              <w:t xml:space="preserve">Not used in this project</w:t>
            </w:r>
          </w:p>
        </w:tc>
        <w:tc>
          <w:tcPr/>
          <w:p>
            <w:pPr>
              <w:spacing w:after="40"/>
            </w:pPr>
            <w:r>
              <w:rPr>
                <w:rFonts w:ascii="Arial" w:cs="Arial" w:eastAsia="Arial" w:hAnsi="Arial"/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>
            <w:pPr>
              <w:spacing w:after="40"/>
            </w:pPr>
            <w:r>
              <w:rPr>
                <w:rFonts w:ascii="Arial" w:cs="Arial" w:eastAsia="Arial" w:hAnsi="Arial"/>
                <w:rtl w:val="0"/>
              </w:rPr>
              <w:t xml:space="preserve">Application deployment on the ServiceNow cloud platform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rtl w:val="0"/>
              </w:rPr>
              <w:t xml:space="preserve">Local Server Configuration: not required, as the logic runs in the browser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rtl w:val="0"/>
              </w:rPr>
              <w:t xml:space="preserve">Cloud Server Configuration: ServiceNow Personal Developer Instance, hosted by ServiceNow</w:t>
            </w:r>
          </w:p>
        </w:tc>
        <w:tc>
          <w:tcPr/>
          <w:p>
            <w:pPr>
              <w:spacing w:after="40"/>
            </w:pPr>
            <w:r>
              <w:rPr>
                <w:rFonts w:ascii="Arial" w:cs="Arial" w:eastAsia="Arial" w:hAnsi="Arial"/>
                <w:rtl w:val="0"/>
              </w:rPr>
              <w:t xml:space="preserve">ServiceNow cloud platform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/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>
            <w:pPr>
              <w:spacing w:after="40"/>
            </w:pPr>
            <w:r>
              <w:rPr>
                <w:rFonts w:ascii="Arial" w:cs="Arial" w:eastAsia="Arial" w:hAnsi="Arial"/>
                <w:rtl w:val="0"/>
              </w:rPr>
              <w:t xml:space="preserve">ServiceNow is a proprietary platform; the client-side logic uses standard JavaScript</w:t>
            </w:r>
          </w:p>
        </w:tc>
        <w:tc>
          <w:tcPr/>
          <w:p>
            <w:pPr>
              <w:spacing w:after="40"/>
            </w:pPr>
            <w:r>
              <w:rPr>
                <w:rFonts w:ascii="Arial" w:cs="Arial" w:eastAsia="Arial" w:hAnsi="Arial"/>
                <w:rtl w:val="0"/>
              </w:rPr>
              <w:t xml:space="preserve">JavaScript (client side)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>
            <w:pPr>
              <w:spacing w:after="40"/>
            </w:pPr>
            <w:r>
              <w:rPr>
                <w:rFonts w:ascii="Arial" w:cs="Arial" w:eastAsia="Arial" w:hAnsi="Arial"/>
                <w:rtl w:val="0"/>
              </w:rPr>
              <w:t xml:space="preserve">Access to create or change UI Policies and Client Scripts is limited to administrators; ServiceNow roles and access controls still apply</w:t>
            </w:r>
          </w:p>
        </w:tc>
        <w:tc>
          <w:tcPr/>
          <w:p>
            <w:pPr>
              <w:spacing w:after="40"/>
            </w:pPr>
            <w:r>
              <w:rPr>
                <w:rFonts w:ascii="Arial" w:cs="Arial" w:eastAsia="Arial" w:hAnsi="Arial"/>
                <w:rtl w:val="0"/>
              </w:rPr>
              <w:t xml:space="preserve">ServiceNow roles and ACLs, authenticated login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>
            <w:pPr>
              <w:spacing w:after="40"/>
            </w:pPr>
            <w:r>
              <w:rPr>
                <w:rFonts w:ascii="Arial" w:cs="Arial" w:eastAsia="Arial" w:hAnsi="Arial"/>
                <w:rtl w:val="0"/>
              </w:rPr>
              <w:t xml:space="preserve">Multi-tier platform; the same UI Policy approach can be extended to other tables such as Change and Problem</w:t>
            </w:r>
          </w:p>
        </w:tc>
        <w:tc>
          <w:tcPr/>
          <w:p>
            <w:pPr>
              <w:spacing w:after="40"/>
            </w:pPr>
            <w:r>
              <w:rPr>
                <w:rFonts w:ascii="Arial" w:cs="Arial" w:eastAsia="Arial" w:hAnsi="Arial"/>
                <w:rtl w:val="0"/>
              </w:rPr>
              <w:t xml:space="preserve">ServiceNow multi-tier cloud platform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>
            <w:pPr>
              <w:spacing w:after="40"/>
            </w:pPr>
            <w:r>
              <w:rPr>
                <w:rFonts w:ascii="Arial" w:cs="Arial" w:eastAsia="Arial" w:hAnsi="Arial"/>
                <w:rtl w:val="0"/>
              </w:rPr>
              <w:t xml:space="preserve">Available whenever the ServiceNow instance is available, as no separate service is needed</w:t>
            </w:r>
          </w:p>
        </w:tc>
        <w:tc>
          <w:tcPr/>
          <w:p>
            <w:pPr>
              <w:spacing w:after="40"/>
            </w:pPr>
            <w:r>
              <w:rPr>
                <w:rFonts w:ascii="Arial" w:cs="Arial" w:eastAsia="Arial" w:hAnsi="Arial"/>
                <w:rtl w:val="0"/>
              </w:rPr>
              <w:t xml:space="preserve">ServiceNow cloud-hosted instance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>
            <w:pPr>
              <w:spacing w:after="40"/>
            </w:pPr>
            <w:r>
              <w:rPr>
                <w:rFonts w:ascii="Arial" w:cs="Arial" w:eastAsia="Arial" w:hAnsi="Arial"/>
                <w:rtl w:val="0"/>
              </w:rPr>
              <w:t xml:space="preserve">UI Policies and Client Scripts run in the browser, so fields respond without a server call or noticeable delay</w:t>
            </w:r>
          </w:p>
        </w:tc>
        <w:tc>
          <w:tcPr/>
          <w:p>
            <w:pPr>
              <w:spacing w:after="40"/>
            </w:pPr>
            <w:r>
              <w:rPr>
                <w:rFonts w:ascii="Arial" w:cs="Arial" w:eastAsia="Arial" w:hAnsi="Arial"/>
                <w:rtl w:val="0"/>
              </w:rPr>
              <w:t xml:space="preserve">Client-side execution in the browser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Relationship Id="rIdARCH" Type="http://schemas.openxmlformats.org/officeDocument/2006/relationships/image" Target="media/arch_projec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