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3 October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SWTID-2026-3878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Implement Client Script &amp; UI Policy (Incident)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keepNext w:val="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Solution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Solution architecture is a complex process, with many sub-processes, that bridges the gap between business problems and technology solutions. Its goals are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best tech solution to solve existing business problems.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Describe the structure, characteristics, behavior, and other aspects of the software to project stakeholders.</w:t>
      </w:r>
    </w:p>
    <w:p w:rsidR="00000000" w:rsidDel="00000000" w:rsidP="00000000" w:rsidRDefault="00000000" w:rsidRPr="00000000" w14:paraId="0000000F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Define features, development phases, and solution requirements.</w:t>
      </w:r>
    </w:p>
    <w:p w:rsidR="00000000" w:rsidDel="00000000" w:rsidP="00000000" w:rsidRDefault="00000000" w:rsidRPr="00000000" w14:paraId="00000010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 specifications according to which the solution is defined, managed, and delivered.</w:t>
      </w:r>
    </w:p>
    <w:p w:rsidR="00000000" w:rsidDel="00000000" w:rsidP="00000000" w:rsidRDefault="00000000" w:rsidRPr="00000000" w14:paraId="00000011">
      <w:pPr>
        <w:keepNext w:val="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Solution Architecture Diagram: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2857500"/>
            <wp:effectExtent b="0" l="0" r="0" t="0"/>
            <wp:docPr descr="Architecture of UI Policy and Client Script behaviour on the ServiceNow Incident form" id="1" name="image1.png"/>
            <a:graphic>
              <a:graphicData uri="http://schemas.openxmlformats.org/drawingml/2006/picture">
                <pic:pic>
                  <pic:nvPicPr>
                    <pic:cNvPr descr="Architecture of UI Policy and Client Script behaviour on the ServiceNow Incident form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sz w:val="20"/>
          <w:szCs w:val="20"/>
          <w:rtl w:val="0"/>
        </w:rPr>
        <w:t xml:space="preserve">Figure 1: Architecture and data flow of UI Policies and Client Scripts on the ServiceNow Incident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spacing w:after="10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Architecture Components: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300"/>
        <w:gridCol w:w="6460"/>
        <w:tblGridChange w:id="0">
          <w:tblGrid>
            <w:gridCol w:w="600"/>
            <w:gridCol w:w="2300"/>
            <w:gridCol w:w="6460"/>
          </w:tblGrid>
        </w:tblGridChange>
      </w:tblGrid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20"/>
                <w:szCs w:val="20"/>
                <w:rtl w:val="0"/>
              </w:rPr>
              <w:t xml:space="preserve">Role in the 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Incident Form (Platform 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Form where agents and callers create and update incidents. All field behaviour is applied here.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UI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Condition-based rule on the incident table. When the condition is true its actions make fields Mandatory, Read-only or Visible; "Reverse if false" restores them automatically.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Client Scripts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onLoad, onChange and onSubmit scripts (g_form API) for logic a UI Policy cannot cover, such as field messages, alerts and auto-populating values.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Incident Table [incident]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Stores the incident records and field definitions (dictionary).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Server-side Safeguards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Business Rules, ACLs and Data Policy that validate data on save, so rules still hold for imports, integrations and APIs.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shd w:fill="deea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Reports and Notifications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8c8c" w:space="0" w:sz="6" w:val="single"/>
              <w:left w:color="8c8c8c" w:space="0" w:sz="6" w:val="single"/>
              <w:bottom w:color="8c8c8c" w:space="0" w:sz="6" w:val="single"/>
              <w:right w:color="8c8c8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sz w:val="20"/>
                <w:szCs w:val="20"/>
                <w:rtl w:val="0"/>
              </w:rPr>
              <w:t xml:space="preserve">Consume the cleaner, complete data for dashboards, SLAs and email alerts.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Data 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agent or caller opens a new or existing incident in the form.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changes a field (for example State, Priority or Category).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UI Policy condition is evaluated and any matching Client Script runs in the browser.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Fields instantly become mandatory, read-only or visible, with no form submission or page reload.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user completes the required fields and saves the record.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Server-side Business Rules, ACLs and Data Policy validate the record on save.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Complete, consistent incident data flows into reports, SLAs and notifications.</w:t>
      </w:r>
    </w:p>
    <w:p w:rsidR="00000000" w:rsidDel="00000000" w:rsidP="00000000" w:rsidRDefault="00000000" w:rsidRPr="00000000" w14:paraId="00000032">
      <w:pPr>
        <w:keepNext w:val="1"/>
        <w:spacing w:after="10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sz w:val="26"/>
          <w:szCs w:val="26"/>
          <w:rtl w:val="0"/>
        </w:rPr>
        <w:t xml:space="preserve">Team: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00" w:before="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Team Leader: Ashwini V. Team Members: Gunasri E, Dhivyabharathi G, Asanciya V, Niveatha J (team size: 5).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•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i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