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0"/>
        </w:rPr>
        <w:t>Methods, Models and Technical Blueprint</w:t>
      </w:r>
    </w:p>
    <w:p>
      <w:r>
        <w:rPr>
          <w:rFonts w:ascii="Calibri" w:hAnsi="Calibri"/>
          <w:color w:val="555555"/>
          <w:sz w:val="22"/>
        </w:rPr>
        <w:t>Guide review pack | Tentative implementation plan, subject to data access</w:t>
      </w:r>
    </w:p>
    <w:p/>
    <w:p>
      <w:pPr>
        <w:pStyle w:val="Heading1"/>
      </w:pPr>
      <w:r>
        <w:t>System Idea</w:t>
      </w:r>
    </w:p>
    <w:p>
      <w:r>
        <w:t>Build an explainable clinical decision-support framework that predicts IVF outcome probability, explains patient-specific factors, and supports doctor-patient counseling without replacing clinician judgment.</w:t>
      </w:r>
    </w:p>
    <w:p>
      <w:pPr>
        <w:pStyle w:val="Heading1"/>
      </w:pPr>
      <w:r>
        <w:t>Candidate Data Pipeline</w:t>
      </w:r>
    </w:p>
    <w:p>
      <w:pPr>
        <w:pStyle w:val="ListNumber"/>
      </w:pPr>
      <w:r>
        <w:t>Collect anonymized IVF records after permission and ethics approval.</w:t>
      </w:r>
    </w:p>
    <w:p>
      <w:pPr>
        <w:pStyle w:val="ListNumber"/>
      </w:pPr>
      <w:r>
        <w:t>Clean missing values, inconsistent formats and outliers.</w:t>
      </w:r>
    </w:p>
    <w:p>
      <w:pPr>
        <w:pStyle w:val="ListNumber"/>
      </w:pPr>
      <w:r>
        <w:t>Map clinical, treatment-cycle, embryology and optional lifestyle variables.</w:t>
      </w:r>
    </w:p>
    <w:p>
      <w:pPr>
        <w:pStyle w:val="ListNumber"/>
      </w:pPr>
      <w:r>
        <w:t>Train baseline and advanced machine-learning models.</w:t>
      </w:r>
    </w:p>
    <w:p>
      <w:pPr>
        <w:pStyle w:val="ListNumber"/>
      </w:pPr>
      <w:r>
        <w:t>Evaluate discrimination, calibration and subgroup performance.</w:t>
      </w:r>
    </w:p>
    <w:p>
      <w:pPr>
        <w:pStyle w:val="ListNumber"/>
      </w:pPr>
      <w:r>
        <w:t>Generate XAI explanations and test whether clinicians find them useful.</w:t>
      </w:r>
    </w:p>
    <w:p>
      <w:pPr>
        <w:pStyle w:val="Heading1"/>
      </w:pPr>
      <w:r>
        <w:t>Candidate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604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Role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Logistic Regression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Baseline and interpretable comparison model.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Decision Tree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Simple interpretable model.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Random Forest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Non-linear tabular-data baseline.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XGBoost / LightGBM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Strong candidate models for structured IVF data.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SVM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Comparison model if dataset size and feature set support it.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Neural network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Only if data volume or image/time-lapse data justifies it.</w:t>
            </w:r>
          </w:p>
        </w:tc>
      </w:tr>
    </w:tbl>
    <w:p/>
    <w:p>
      <w:pPr>
        <w:pStyle w:val="Heading1"/>
      </w:pPr>
      <w:r>
        <w:t>Explainability Methods</w:t>
      </w:r>
    </w:p>
    <w:p>
      <w:pPr>
        <w:pStyle w:val="ListBullet"/>
      </w:pPr>
      <w:r>
        <w:t>SHAP for global and patient-level explanations.</w:t>
      </w:r>
    </w:p>
    <w:p>
      <w:pPr>
        <w:pStyle w:val="ListBullet"/>
      </w:pPr>
      <w:r>
        <w:t>LIME as a possible local explanation comparison.</w:t>
      </w:r>
    </w:p>
    <w:p>
      <w:pPr>
        <w:pStyle w:val="ListBullet"/>
      </w:pPr>
      <w:r>
        <w:t>Permutation importance for model-agnostic feature importance.</w:t>
      </w:r>
    </w:p>
    <w:p>
      <w:pPr>
        <w:pStyle w:val="ListBullet"/>
      </w:pPr>
      <w:r>
        <w:t>Partial dependence or related plots for selected variables if clinically meaningful.</w:t>
      </w:r>
    </w:p>
    <w:p>
      <w:pPr>
        <w:pStyle w:val="Heading1"/>
      </w:pPr>
      <w:r>
        <w:t>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62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Candidate Measures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Classification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AUC, accuracy, sensitivity, specificity, precision, recall, F1.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Calibration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Calibration curve and Brier score.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Clinical usefulness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Decision curve analysis if feasible.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Generalization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External, temporal or subgroup validation depending on data.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Explainability/usefulness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Clinician review or structured feedback.</w:t>
            </w:r>
          </w:p>
        </w:tc>
      </w:tr>
    </w:tbl>
    <w:p/>
    <w:p>
      <w:pPr>
        <w:pStyle w:val="Heading1"/>
      </w:pPr>
      <w:r>
        <w:t>Important Boundary</w:t>
      </w:r>
    </w:p>
    <w:p>
      <w:r>
        <w:t>The current plan should not claim treatment improvement or clinical deployment. The defensible claim is prediction, explanation, validation and decision-support design.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