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0"/>
        </w:rPr>
        <w:t>Research Questions, Hypotheses and Statistical Plan</w:t>
      </w:r>
    </w:p>
    <w:p>
      <w:r>
        <w:rPr>
          <w:rFonts w:ascii="Calibri" w:hAnsi="Calibri"/>
          <w:color w:val="555555"/>
          <w:sz w:val="22"/>
        </w:rPr>
        <w:t>Guide review pack | Draft academic structure for guide discussion</w:t>
      </w:r>
    </w:p>
    <w:p/>
    <w:p>
      <w:pPr>
        <w:pStyle w:val="Heading1"/>
      </w:pPr>
      <w:r>
        <w:t>Current Research Questions</w:t>
      </w:r>
    </w:p>
    <w:p>
      <w:pPr>
        <w:pStyle w:val="ListNumber"/>
      </w:pPr>
      <w:r>
        <w:t>Which clinical, embryological and contextual factors are useful for personalized IVF outcome prediction?</w:t>
      </w:r>
    </w:p>
    <w:p>
      <w:pPr>
        <w:pStyle w:val="ListNumber"/>
      </w:pPr>
      <w:r>
        <w:t>Can a multimodal machine-learning model predict IVF outcomes better than a single-data-type model?</w:t>
      </w:r>
    </w:p>
    <w:p>
      <w:pPr>
        <w:pStyle w:val="ListNumber"/>
      </w:pPr>
      <w:r>
        <w:t>How can explainable AI show the main reasons behind each prediction?</w:t>
      </w:r>
    </w:p>
    <w:p>
      <w:pPr>
        <w:pStyle w:val="ListNumber"/>
      </w:pPr>
      <w:r>
        <w:t>Does the model perform consistently across patient groups, clinics or Indian IVF data if such data are available?</w:t>
      </w:r>
    </w:p>
    <w:p>
      <w:pPr>
        <w:pStyle w:val="ListNumber"/>
      </w:pPr>
      <w:r>
        <w:t>How can prediction results be presented to doctors as decision support without replacing doctor judgment?</w:t>
      </w:r>
    </w:p>
    <w:p>
      <w:pPr>
        <w:pStyle w:val="Heading1"/>
      </w:pPr>
      <w:r>
        <w:t>Tentative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Hypothesis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Clinical and embryological variables together improve prediction compared with clinical variables alone.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Testable only if embryology variables are available.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XAI can identify patient-specific positive and negative prediction drivers.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Testable after model development.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Model performance differs across age, diagnosis or treatment subgroups.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Testable if subgroup sizes are adequate.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Clinicians find structured explanation outputs useful for counseling.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Testable only if clinician review is feasible.</w:t>
            </w:r>
          </w:p>
        </w:tc>
      </w:tr>
    </w:tbl>
    <w:p/>
    <w:p>
      <w:pPr>
        <w:pStyle w:val="Heading1"/>
      </w:pPr>
      <w:r>
        <w:t>Statistical and ML Evaluation Plan</w:t>
      </w:r>
    </w:p>
    <w:p>
      <w:pPr>
        <w:pStyle w:val="ListBullet"/>
      </w:pPr>
      <w:r>
        <w:t>Use descriptive statistics to summarize age, BMI, diagnosis, treatment type and outcomes.</w:t>
      </w:r>
    </w:p>
    <w:p>
      <w:pPr>
        <w:pStyle w:val="ListBullet"/>
      </w:pPr>
      <w:r>
        <w:t>Use appropriate univariate comparison tests depending on variable type and distribution.</w:t>
      </w:r>
    </w:p>
    <w:p>
      <w:pPr>
        <w:pStyle w:val="ListBullet"/>
      </w:pPr>
      <w:r>
        <w:t>Use train/validation/test, cross-validation, bootstrap, temporal validation or external validation depending on dataset size and source.</w:t>
      </w:r>
    </w:p>
    <w:p>
      <w:pPr>
        <w:pStyle w:val="ListBullet"/>
      </w:pPr>
      <w:r>
        <w:t>Report discrimination metrics such as AUC, sensitivity and specificity.</w:t>
      </w:r>
    </w:p>
    <w:p>
      <w:pPr>
        <w:pStyle w:val="ListBullet"/>
      </w:pPr>
      <w:r>
        <w:t>Report calibration because a clinically useful probability must be reliable, not only ranked correctly.</w:t>
      </w:r>
    </w:p>
    <w:p>
      <w:pPr>
        <w:pStyle w:val="ListBullet"/>
      </w:pPr>
      <w:r>
        <w:t>Perform subgroup analysis only when sample sizes are sufficient.</w:t>
      </w:r>
    </w:p>
    <w:p>
      <w:pPr>
        <w:pStyle w:val="Heading1"/>
      </w:pPr>
      <w:r>
        <w:t>Not Final Yet</w:t>
      </w:r>
    </w:p>
    <w:p>
      <w:pPr>
        <w:pStyle w:val="ListBullet"/>
      </w:pPr>
      <w:r>
        <w:t>Final dependent variable: live birth is preferred but may not be available.</w:t>
      </w:r>
    </w:p>
    <w:p>
      <w:pPr>
        <w:pStyle w:val="ListBullet"/>
      </w:pPr>
      <w:r>
        <w:t>Final hypotheses: must match actual variables and outcomes.</w:t>
      </w:r>
    </w:p>
    <w:p>
      <w:pPr>
        <w:pStyle w:val="ListBullet"/>
      </w:pPr>
      <w:r>
        <w:t>Final validation plan: depends on whether more than one clinic/source/time period is available.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