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0"/>
        </w:rPr>
        <w:t>Theme and Gap Analysis</w:t>
      </w:r>
    </w:p>
    <w:p>
      <w:r>
        <w:rPr>
          <w:rFonts w:ascii="Calibri" w:hAnsi="Calibri"/>
          <w:color w:val="555555"/>
          <w:sz w:val="22"/>
        </w:rPr>
        <w:t>Guide review pack | How the current topic direction emerged from repeated literature signals</w:t>
      </w:r>
    </w:p>
    <w:p/>
    <w:p>
      <w:pPr>
        <w:pStyle w:val="Heading1"/>
      </w:pPr>
      <w:r>
        <w:t>Why Themes Were Created</w:t>
      </w:r>
    </w:p>
    <w:p>
      <w:r>
        <w:t>Theme classification helps convert individual papers into research directions. It prevents title selection from depending on a single paper or isolated limitation.</w:t>
      </w:r>
    </w:p>
    <w:p>
      <w:pPr>
        <w:pStyle w:val="Heading1"/>
      </w:pPr>
      <w:r>
        <w:t>Main Theme 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3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Theme Group</w:t>
            </w:r>
          </w:p>
        </w:tc>
        <w:tc>
          <w:tcPr>
            <w:tcW w:type="dxa" w:w="208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Paper Examples</w:t>
            </w:r>
          </w:p>
        </w:tc>
        <w:tc>
          <w:tcPr>
            <w:tcW w:type="dxa" w:w="482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Interpretation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IVF outcome prediction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5, 6, 7, 8, 9, 15, 29, 30, 31, 33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Core predictive analytics direction.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Explainable / trustworthy AI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1, 14, 25, 26, 27, 33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Needed for transparent clinical use.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decision support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2, 21, 22, 23, 34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Moves work beyond accuracy-only model building.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Personalization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1, 2, 12, 21, 23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patient-specific or protocol-specific modeling.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Embryo and multimodal AI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3, 4, 24, 27, 28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if embryology/image data can be accessed.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Indian/context-specific validation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1, 5, 29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Promising but dataset-dependent.</w:t>
            </w:r>
          </w:p>
        </w:tc>
      </w:tr>
    </w:tbl>
    <w:p/>
    <w:p>
      <w:pPr>
        <w:pStyle w:val="Heading1"/>
      </w:pPr>
      <w:r>
        <w:t>Repeated Gap Frequency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Gap</w:t>
            </w:r>
          </w:p>
        </w:tc>
        <w:tc>
          <w:tcPr>
            <w:tcW w:type="dxa" w:w="158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Frequency</w:t>
            </w:r>
          </w:p>
        </w:tc>
        <w:tc>
          <w:tcPr>
            <w:tcW w:type="dxa" w:w="460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How To Use 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Need external validation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26 papers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Strong repeated gap; final claim depends on access to independent clinic/time-period data.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Need clinical decision support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18 papers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Strong design opportunity; supports CDSS framing.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Need real-world deployment evidence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9 papers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for justification, but full deployment may be beyond PhD scope.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Retrospective design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9 papers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Shows limitation of many studies; can be addressed partly through validation strategy.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Trustworthy AI gap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8 papers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XAI, clinician review and cautious claims.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Single-center study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6 papers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multi-center or temporal validation if feasible.</w:t>
            </w:r>
          </w:p>
        </w:tc>
      </w:tr>
    </w:tbl>
    <w:p/>
    <w:p>
      <w:pPr>
        <w:pStyle w:val="Heading1"/>
      </w:pPr>
      <w:r>
        <w:t>Gaps To Treat Carefully</w:t>
      </w:r>
    </w:p>
    <w:p>
      <w:pPr>
        <w:pStyle w:val="ListBullet"/>
      </w:pPr>
      <w:r>
        <w:t>Lifestyle data is promising, but should not be claimed as a repeated core gap unless clinic/questionnaire feasibility is confirmed.</w:t>
      </w:r>
    </w:p>
    <w:p>
      <w:pPr>
        <w:pStyle w:val="ListBullet"/>
      </w:pPr>
      <w:r>
        <w:t>Indian population validation is valuable, but should appear in the final title only if Indian clinic data is available.</w:t>
      </w:r>
    </w:p>
    <w:p>
      <w:pPr>
        <w:pStyle w:val="ListBullet"/>
      </w:pPr>
      <w:r>
        <w:t>Embryo-image deep learning should not be promised unless image or time-lapse data can be accessed ethically and practically.</w:t>
      </w:r>
    </w:p>
    <w:p>
      <w:pPr>
        <w:pStyle w:val="Heading1"/>
      </w:pPr>
      <w:r>
        <w:t>Working Research Opportunity</w:t>
      </w:r>
    </w:p>
    <w:p>
      <w:r>
        <w:t>A defensible opportunity is an explainable clinical decision-support framework for IVF outcome prediction, using available clinical and embryological variables, with validation and clinician review as far as data access permits.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