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Methods, Models and Technical Blueprint</w:t>
      </w:r>
    </w:p>
    <w:p>
      <w:r>
        <w:rPr>
          <w:rFonts w:ascii="Calibri" w:hAnsi="Calibri"/>
          <w:color w:val="555555"/>
          <w:sz w:val="22"/>
        </w:rPr>
        <w:t>Guide review pack | Tentative implementation plan, subject to data access</w:t>
      </w:r>
    </w:p>
    <w:p/>
    <w:p>
      <w:pPr>
        <w:pStyle w:val="Heading1"/>
      </w:pPr>
      <w:r>
        <w:t>Purpose</w:t>
      </w:r>
    </w:p>
    <w:p>
      <w:r>
        <w:t>This document describes the likely technical route for the PhD after data access is confirmed. It is a blueprint for guide discussion, not a final implementation commitment.</w:t>
      </w:r>
    </w:p>
    <w:p>
      <w:pPr>
        <w:pStyle w:val="Heading1"/>
      </w:pPr>
      <w:r>
        <w:t>Proposed System Idea</w:t>
      </w:r>
    </w:p>
    <w:p>
      <w:r>
        <w:t>Build an explainable clinical decision-support framework that predicts IVF outcome probability, explains patient-specific factors, and supports doctor-patient counseling without replacing clinician judgment.</w:t>
      </w:r>
    </w:p>
    <w:p>
      <w:pPr>
        <w:pStyle w:val="Heading1"/>
      </w:pPr>
      <w:r>
        <w:t>High-Level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Step</w:t>
            </w:r>
          </w:p>
        </w:tc>
        <w:tc>
          <w:tcPr>
            <w:tcW w:type="dxa" w:w="39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0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Main Output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Data access and ethics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Confirm clinic data, permission, anonymization and outcome availability.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Approved data access plan.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Data cleaning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Handle missing values, duplicates, inconsistent formats and outliers.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Clean research dataset.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Variable mapping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Map demographic, clinical, treatment, embryology and optional lifestyle variables.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Feature dictionary and analysis dataset.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Exploratory analysis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Understand distributions, outcome rates, missingness and class imbalance.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EDA summary and modelling decisions.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development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Compare baseline and advanced models.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Candidate prediction models.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Explainability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 global patterns and patient-level predictions.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XAI outputs for clinician review.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Validation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 internal, temporal, subgroup or external performance depending on data.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Validation report.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CDSS prototype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Convert model and explanation into a doctor-facing output.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Prototype or mock decision-support screen.</w:t>
            </w:r>
          </w:p>
        </w:tc>
      </w:tr>
    </w:tbl>
    <w:p/>
    <w:p>
      <w:pPr>
        <w:pStyle w:val="Heading1"/>
      </w:pPr>
      <w:r>
        <w:t>Data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Table / Entity</w:t>
            </w:r>
          </w:p>
        </w:tc>
        <w:tc>
          <w:tcPr>
            <w:tcW w:type="dxa" w:w="432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Example Fields</w:t>
            </w:r>
          </w:p>
        </w:tc>
        <w:tc>
          <w:tcPr>
            <w:tcW w:type="dxa" w:w="266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Patient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anonymous patient ID, age, BMI, infertility duration, diagnosis.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Patient-level risk and counselling context.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Cycle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cycle ID, year, IVF/ICSI, fresh/frozen, protocol, trigger, endometrial thickness.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Treatment-cycle modelling and temporal validation.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Hormone / ovarian reserve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AMH, AFC, FSH, LH, estradiol, progesterone.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prediction and ovarian response explanation.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Embryology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oocytes, MII oocytes, fertilization, embryo grade, blastocyst grade, embryos transferred.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Multimodal prediction if available.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Outcome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pregnancy, live birth, miscarriage, implantation, oocyte yield.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Dependent variable definition.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smoking, sleep, stress, activity, diet.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Optional personalization only if reliably collected.</w:t>
            </w:r>
          </w:p>
        </w:tc>
      </w:tr>
    </w:tbl>
    <w:p/>
    <w:p>
      <w:pPr>
        <w:pStyle w:val="Heading1"/>
      </w:pPr>
      <w:r>
        <w:t>Candidate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324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Role</w:t>
            </w:r>
          </w:p>
        </w:tc>
        <w:tc>
          <w:tcPr>
            <w:tcW w:type="dxa" w:w="38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When To Use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Logistic Regression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Baseline and interpretable comparison model.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Always useful as a transparent starting point.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Decision Tree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Simple rule-like model.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explanation but may overfit.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Random Forest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Non-linear tabular-data baseline.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when relationships are not purely linear.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XGBoost / LightGBM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candidate models for structured IVF data.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Likely primary advanced models for tabular clinical/embryology data.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SVM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Comparison model.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only if dataset size and feature scaling support it.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Neural network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Deep learning candidate.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only for large data, image/time-lapse data or clear technical justification.</w:t>
            </w:r>
          </w:p>
        </w:tc>
      </w:tr>
    </w:tbl>
    <w:p/>
    <w:p>
      <w:pPr>
        <w:pStyle w:val="Heading1"/>
      </w:pPr>
      <w:r>
        <w:t>Recommended Model Strategy</w:t>
      </w:r>
    </w:p>
    <w:p>
      <w:pPr>
        <w:pStyle w:val="ListNumber"/>
      </w:pPr>
      <w:r>
        <w:t>Start with Logistic Regression as the baseline.</w:t>
      </w:r>
    </w:p>
    <w:p>
      <w:pPr>
        <w:pStyle w:val="ListNumber"/>
      </w:pPr>
      <w:r>
        <w:t>Add Random Forest as a non-linear comparison model.</w:t>
      </w:r>
    </w:p>
    <w:p>
      <w:pPr>
        <w:pStyle w:val="ListNumber"/>
      </w:pPr>
      <w:r>
        <w:t>Use XGBoost or LightGBM as the main advanced tabular-data model.</w:t>
      </w:r>
    </w:p>
    <w:p>
      <w:pPr>
        <w:pStyle w:val="ListNumber"/>
      </w:pPr>
      <w:r>
        <w:t>Use deep learning only if image, time-lapse or sufficiently large data are available.</w:t>
      </w:r>
    </w:p>
    <w:p>
      <w:pPr>
        <w:pStyle w:val="ListNumber"/>
      </w:pPr>
      <w:r>
        <w:t>Select the final model using performance, calibration, explainability and clinical usefulness, not accuracy alone.</w:t>
      </w:r>
    </w:p>
    <w:p>
      <w:pPr>
        <w:pStyle w:val="Heading1"/>
      </w:pPr>
      <w:r>
        <w:t>Explainability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8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</w:t>
            </w:r>
          </w:p>
        </w:tc>
        <w:tc>
          <w:tcPr>
            <w:tcW w:type="dxa" w:w="33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Caution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SHAP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Global feature importance and patient-level positive/negative drivers.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Explanations must be interpreted clinically, not as causality.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LIME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Optional local explanation comparison.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 be unstable; use as supporting method only.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Permutation importance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Model-agnostic feature importance.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 be affected by correlated predictors.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Partial dependence / related plots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Shows model relationship for selected variables.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only for clinically meaningful variables.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Explanation card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Doctor-facing summary of probability, key factors and caution notes.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Must be reviewed by clinicians before claiming usefulness.</w:t>
            </w:r>
          </w:p>
        </w:tc>
      </w:tr>
    </w:tbl>
    <w:p/>
    <w:p>
      <w:r>
        <w:br w:type="page"/>
      </w:r>
    </w:p>
    <w:p>
      <w:pPr>
        <w:pStyle w:val="Heading1"/>
      </w:pPr>
      <w:r>
        <w:t>Evaluation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Area</w:t>
            </w:r>
          </w:p>
        </w:tc>
        <w:tc>
          <w:tcPr>
            <w:tcW w:type="dxa" w:w="33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Candidate Measures</w:t>
            </w:r>
          </w:p>
        </w:tc>
        <w:tc>
          <w:tcPr>
            <w:tcW w:type="dxa" w:w="36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Why It Matters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Discrimination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AUC, sensitivity, specificity, precision, recall, F1.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Shows whether model separates outcome groups.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Calibration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Calibration curve and Brier score.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Important because clinicians need reliable probabilities.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usefulness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Decision curve analysis if feasible.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Shows whether predictions may support decisions better than simple strategies.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Generalization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Internal, temporal, subgroup or external validation.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Addresses repeated literature gap around poor validation.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Explainability/usefulness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SHAP review, clinician feedback or structured questionnaire.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Tests whether explanations are understandable and useful.</w:t>
            </w:r>
          </w:p>
        </w:tc>
      </w:tr>
    </w:tbl>
    <w:p/>
    <w:p>
      <w:pPr>
        <w:pStyle w:val="Heading1"/>
      </w:pPr>
      <w:r>
        <w:t>Possible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Area</w:t>
            </w:r>
          </w:p>
        </w:tc>
        <w:tc>
          <w:tcPr>
            <w:tcW w:type="dxa" w:w="33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Candidate Tools</w:t>
            </w:r>
          </w:p>
        </w:tc>
        <w:tc>
          <w:tcPr>
            <w:tcW w:type="dxa" w:w="36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Comment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Data processing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Python, Pandas, NumPy.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Suitable for structured IVF data cleaning.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Machine learning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Scikit-learn, XGBoost, LightGBM.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Practical and widely used for tabular clinical data.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AI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SHAP, LIME, permutation importance.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with careful clinical interpretation.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Visualization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Matplotlib, Seaborn, Plotly.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EDA, model results and guide/panel presentation.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Prototype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Streamlit, Flask or FastAPI.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Prototype only; not clinical deployment.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Database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CSV/Excel initially; PostgreSQL/MySQL if a formal app is needed.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Depends on data source and system scope.</w:t>
            </w:r>
          </w:p>
        </w:tc>
      </w:tr>
    </w:tbl>
    <w:p/>
    <w:p>
      <w:pPr>
        <w:pStyle w:val="Heading1"/>
      </w:pPr>
      <w:r>
        <w:t>Expected Decision-Support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Output</w:t>
            </w:r>
          </w:p>
        </w:tc>
        <w:tc>
          <w:tcPr>
            <w:tcW w:type="dxa" w:w="38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Example</w:t>
            </w:r>
          </w:p>
        </w:tc>
        <w:tc>
          <w:tcPr>
            <w:tcW w:type="dxa" w:w="295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Predicted probability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Estimated probability of clinical pregnancy or live birth.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Gives model output in understandable form.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Positive factors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Age range, AMH, embryo grade or endometrial thickness if supportive.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Shows factors increasing predicted chance.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Negative factors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High BMI, low AMH, thin endometrium etc. if model-supported.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Shows factors reducing predicted chance.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Modifiable / non-modifiable split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BMI or smoking versus age or infertility duration.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Helps counselling without overclaiming.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Caution note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Decision support only; clinician judgment remains final.</w:t>
            </w:r>
          </w:p>
        </w:tc>
        <w:tc>
          <w:tcPr>
            <w:tcW w:type="dxa" w:w="295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Prevents inappropriate use.</w:t>
            </w:r>
          </w:p>
        </w:tc>
      </w:tr>
    </w:tbl>
    <w:p/>
    <w:p>
      <w:pPr>
        <w:pStyle w:val="Heading1"/>
      </w:pPr>
      <w:r>
        <w:t>Dataset-Dependent Technical Choices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Dataset Situation</w:t>
            </w:r>
          </w:p>
        </w:tc>
        <w:tc>
          <w:tcPr>
            <w:tcW w:type="dxa" w:w="619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Technical Direction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data only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Tabular ML with XAI and internal/temporal validation.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+ embryology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Multimodal tabular modelling with clinical and embryology feature groups.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Image/time-lapse data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Deep learning or hybrid model only if data volume, labels and ethics support it.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data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Add questionnaire/context variables; analyze carefully and avoid causal claims.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Multiple clinics/sources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 and clinic-wise generalization analysis.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 possible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Add structured usability or usefulness evaluation of explanation outputs.</w:t>
            </w:r>
          </w:p>
        </w:tc>
      </w:tr>
    </w:tbl>
    <w:p/>
    <w:p>
      <w:pPr>
        <w:pStyle w:val="Heading1"/>
      </w:pPr>
      <w:r>
        <w:t>Implementation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24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Work Package</w:t>
            </w:r>
          </w:p>
        </w:tc>
        <w:tc>
          <w:tcPr>
            <w:tcW w:type="dxa" w:w="58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Output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Data access and ethics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Permission, variable list and anonymization plan.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Data preparation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Cleaned dataset and feature dictionary.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EDA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Missingness, distributions, outcome rates and imbalance summary.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Model development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Baseline and advanced model comparison.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XAI integration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Global and patient-level explanation outputs.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Validation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Internal/temporal/subgroup/external validation report as feasible.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Prototype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Doctor-facing decision-support screen or report.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Clinician review</w:t>
            </w:r>
          </w:p>
        </w:tc>
        <w:tc>
          <w:tcPr>
            <w:tcW w:type="dxa" w:w="58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Feedback on explanation clarity and usefulness if feasible.</w:t>
            </w:r>
          </w:p>
        </w:tc>
      </w:tr>
    </w:tbl>
    <w:p/>
    <w:p>
      <w:pPr>
        <w:pStyle w:val="Heading1"/>
      </w:pPr>
      <w:r>
        <w:t>Important Boundary</w:t>
      </w:r>
    </w:p>
    <w:p>
      <w:pPr>
        <w:pStyle w:val="ListBullet"/>
      </w:pPr>
      <w:r>
        <w:t>Do not claim the model improves IVF success unless a clinical outcome study proves it.</w:t>
      </w:r>
    </w:p>
    <w:p>
      <w:pPr>
        <w:pStyle w:val="ListBullet"/>
      </w:pPr>
      <w:r>
        <w:t>Do not claim deployment; use prototype or decision-support framework language.</w:t>
      </w:r>
    </w:p>
    <w:p>
      <w:pPr>
        <w:pStyle w:val="ListBullet"/>
      </w:pPr>
      <w:r>
        <w:t>Do not claim causality from retrospective prediction data.</w:t>
      </w:r>
    </w:p>
    <w:p>
      <w:pPr>
        <w:pStyle w:val="ListBullet"/>
      </w:pPr>
      <w:r>
        <w:t>Do not use deep learning as the main plan unless the dataset justifies it.</w:t>
      </w:r>
    </w:p>
    <w:p>
      <w:pPr>
        <w:pStyle w:val="ListBullet"/>
      </w:pPr>
      <w:r>
        <w:t>The defensible contribution is prediction, explanation, validation and clinician-facing decision-support design.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