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Dataset Feasibility and Data Requirement Plan</w:t>
      </w:r>
    </w:p>
    <w:p>
      <w:r>
        <w:rPr>
          <w:rFonts w:ascii="Calibri" w:hAnsi="Calibri"/>
          <w:color w:val="555555"/>
          <w:sz w:val="22"/>
        </w:rPr>
        <w:t>Guide review pack | Variables and feasibility questions before final title selection</w:t>
      </w:r>
    </w:p>
    <w:p/>
    <w:p>
      <w:pPr>
        <w:pStyle w:val="Heading1"/>
      </w:pPr>
      <w:r>
        <w:t>Purpose</w:t>
      </w:r>
    </w:p>
    <w:p>
      <w:r>
        <w:t>The final PhD topic depends heavily on clinic data access. This document converts dataset uncertainty into a decision plan: what minimum data are needed, what stronger data would improve the study, and which title words should remain conditional.</w:t>
      </w:r>
    </w:p>
    <w:p>
      <w:pPr>
        <w:pStyle w:val="Heading1"/>
      </w:pPr>
      <w:r>
        <w:t>Core Decision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0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Decision Question</w:t>
            </w:r>
          </w:p>
        </w:tc>
        <w:tc>
          <w:tcPr>
            <w:tcW w:type="dxa" w:w="316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If Yes</w:t>
            </w:r>
          </w:p>
        </w:tc>
        <w:tc>
          <w:tcPr>
            <w:tcW w:type="dxa" w:w="309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If No</w:t>
            </w:r>
          </w:p>
        </w:tc>
      </w:tr>
      <w:tr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Can IVF clinical data be accessed?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 basic explainable IVF outcome prediction study is feasible.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The current topic cannot move forward practically; need another clinic/source.</w:t>
            </w:r>
          </w:p>
        </w:tc>
      </w:tr>
      <w:tr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Is a clear outcome available?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target can be defined: clinical pregnancy, live birth, miscarriage or oocyte/embryo response.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Prediction study is weak; outcome definition must be solved first.</w:t>
            </w:r>
          </w:p>
        </w:tc>
      </w:tr>
      <w:tr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Are embryology variables available?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The title may include multimodal clinical and embryological data.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clinical data only; keep embryology as future scope.</w:t>
            </w:r>
          </w:p>
        </w:tc>
      </w:tr>
      <w:tr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Are lifestyle variables available or collectable?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personalization can be explored carefully.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 not include lifestyle in the title.</w:t>
            </w:r>
          </w:p>
        </w:tc>
      </w:tr>
      <w:tr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Is independent validation possible?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External, clinic-wise or temporal validation can be claimed depending on source.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internal validation and clearly state limitation.</w:t>
            </w:r>
          </w:p>
        </w:tc>
      </w:tr>
      <w:tr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Can doctors review explanation outputs?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usefulness/usability can become an objective.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Keep CDSS as a proposed framework, not clinically evaluated deployment.</w:t>
            </w:r>
          </w:p>
        </w:tc>
      </w:tr>
    </w:tbl>
    <w:p/>
    <w:p>
      <w:pPr>
        <w:pStyle w:val="Heading1"/>
      </w:pPr>
      <w:r>
        <w:t>Variable Priority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Level</w:t>
            </w:r>
          </w:p>
        </w:tc>
        <w:tc>
          <w:tcPr>
            <w:tcW w:type="dxa" w:w="38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Meaning</w:t>
            </w:r>
          </w:p>
        </w:tc>
        <w:tc>
          <w:tcPr>
            <w:tcW w:type="dxa" w:w="352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Example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Mandatory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Minimum variables required for a defensible IVF outcome-prediction model.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Age, BMI, infertility diagnosis, AMH, AFC, treatment type, outcome.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Recommended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Strongly useful for personalization, model quality or explanation.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Previous IVF attempts, gonadotropin dose, oocytes retrieved, embryo grade.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Optional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if available, but not essential for the first study.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Diet, sleep, stress, ultrasound images, PGT-A status.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Sensitive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Potentially valuable but needs stronger privacy, consent and ethics handling.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Income, occupation, doctor ID, embryologist ID, images, genetic/ploidy data.</w:t>
            </w:r>
          </w:p>
        </w:tc>
      </w:tr>
    </w:tbl>
    <w:p/>
    <w:p>
      <w:r>
        <w:br w:type="page"/>
      </w:r>
    </w:p>
    <w:p>
      <w:pPr>
        <w:pStyle w:val="Heading1"/>
      </w:pPr>
      <w:r>
        <w:t>Minimum Viable Dataset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39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Minimum Variables</w:t>
            </w:r>
          </w:p>
        </w:tc>
        <w:tc>
          <w:tcPr>
            <w:tcW w:type="dxa" w:w="324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Why It Matters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Outcome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pregnancy or live birth.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At least one clear dependent variable is required.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Demographic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Age, BMI, infertility duration, infertility type/cause.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Core patient-level predictors and counselling variables.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Clinical/hormonal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AMH, AFC, diagnosis such as PCOS/endometriosis if available.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Represents ovarian reserve and major clinical subgroups.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Treatment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IVF/ICSI, fresh/frozen transfer, stimulation protocol, endometrial thickness, embryos transferred.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Captures treatment pathway and transfer context.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Validation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Train/test, cross-validation or temporal split.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validation only if independent data exists.</w:t>
            </w:r>
          </w:p>
        </w:tc>
      </w:tr>
    </w:tbl>
    <w:p/>
    <w:p>
      <w:pPr>
        <w:pStyle w:val="Heading1"/>
      </w:pPr>
      <w:r>
        <w:t>Strong Dataset Scenario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Data Group</w:t>
            </w:r>
          </w:p>
        </w:tc>
        <w:tc>
          <w:tcPr>
            <w:tcW w:type="dxa" w:w="432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Useful Variables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Topic Benefit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Embryology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Oocytes retrieved, mature oocytes, fertilization rate, embryo grade, blastocyst grade, transfer day.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Allows multimodal clinical-embryological prediction.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Treatment intensity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Starting dose, total gonadotropin dose, stimulation duration, trigger type/day.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personalization and possible stimulation-response analysis.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Male partner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Sperm count/concentration, motility, morphology, male-factor diagnosis.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Improves couple-level IVF context if available.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Time/workflow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Treatment year, protocol changes, clinic ID if available.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temporal or clinic-wise validation and model drift discussion.</w:t>
            </w:r>
          </w:p>
        </w:tc>
      </w:tr>
    </w:tbl>
    <w:p/>
    <w:p>
      <w:pPr>
        <w:pStyle w:val="Heading1"/>
      </w:pPr>
      <w:r>
        <w:t>Ideal Dataset Scenario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Ideal Addition</w:t>
            </w:r>
          </w:p>
        </w:tc>
        <w:tc>
          <w:tcPr>
            <w:tcW w:type="dxa" w:w="36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</w:t>
            </w:r>
          </w:p>
        </w:tc>
        <w:tc>
          <w:tcPr>
            <w:tcW w:type="dxa" w:w="295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Caution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questionnaire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Smoking, physical activity, sleep, stress, diet, caffeine or occupation.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validated or clearly defined measures; avoid weak self-report claims.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Multiple clinics or independent time period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External, clinic-wise or temporal validation.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 not call internal testing external validation.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Checks whether explanation outputs are meaningful for counselling.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This evaluates usefulness, not clinical outcome improvement.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Images/time-lapse/radiomics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Possible deep learning or radiomics direction.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Only feasible with storage, consent, annotation and technical support.</w:t>
            </w:r>
          </w:p>
        </w:tc>
      </w:tr>
    </w:tbl>
    <w:p/>
    <w:p>
      <w:pPr>
        <w:pStyle w:val="Heading1"/>
      </w:pPr>
      <w:r>
        <w:t>Outcome Selection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Outcome</w:t>
            </w:r>
          </w:p>
        </w:tc>
        <w:tc>
          <w:tcPr>
            <w:tcW w:type="dxa" w:w="18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Priority</w:t>
            </w:r>
          </w:p>
        </w:tc>
        <w:tc>
          <w:tcPr>
            <w:tcW w:type="dxa" w:w="33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 In Study</w:t>
            </w:r>
          </w:p>
        </w:tc>
        <w:tc>
          <w:tcPr>
            <w:tcW w:type="dxa" w:w="21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Caution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Live birth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Preferred if available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Strongest patient-relevant IVF endpoint.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May require follow-up and complete records.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pregnancy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Minimum acceptable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Often easier to obtain and still clinically meaningful.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Less final than live birth.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Miscarriage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Secondary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for post-pregnancy risk modelling.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Only relevant after pregnancy is confirmed.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Oocyte/mature oocyte yield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Secondary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for ovarian stimulation response.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Different target from pregnancy/live birth.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Good-quality embryo/blastocyst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Secondary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if embryology data exists.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Lab outcome, not final patient outcome.</w:t>
            </w:r>
          </w:p>
        </w:tc>
      </w:tr>
    </w:tbl>
    <w:p/>
    <w:p>
      <w:pPr>
        <w:pStyle w:val="Heading1"/>
      </w:pPr>
      <w:r>
        <w:t>Validation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Validation Type</w:t>
            </w:r>
          </w:p>
        </w:tc>
        <w:tc>
          <w:tcPr>
            <w:tcW w:type="dxa" w:w="338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When It Is Possible</w:t>
            </w:r>
          </w:p>
        </w:tc>
        <w:tc>
          <w:tcPr>
            <w:tcW w:type="dxa" w:w="36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How To Word It Safely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Internal validation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One dataset from one clinic.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Internal model validation only.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Temporal validation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Same clinic, later years held out.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Validation on a later time period.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validation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Different clinic/source/system.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validation, if truly independent.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Subgroup validation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Adequate sample sizes by age, diagnosis, PCOS/endometriosis etc.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Subgroup performance analysis, not proof of fairness unless designed properly.</w:t>
            </w:r>
          </w:p>
        </w:tc>
      </w:tr>
    </w:tbl>
    <w:p/>
    <w:p>
      <w:pPr>
        <w:pStyle w:val="Heading1"/>
      </w:pPr>
      <w:r>
        <w:t>Ethics and Privacy Requirements</w:t>
      </w:r>
    </w:p>
    <w:p>
      <w:pPr>
        <w:pStyle w:val="ListBullet"/>
      </w:pPr>
      <w:r>
        <w:t>Use anonymized or de-identified patient/cycle IDs; direct identifiers should not enter the research dataset.</w:t>
      </w:r>
    </w:p>
    <w:p>
      <w:pPr>
        <w:pStyle w:val="ListBullet"/>
      </w:pPr>
      <w:r>
        <w:t>Confirm whether ethics committee approval, clinic permission and data-use agreement are required.</w:t>
      </w:r>
    </w:p>
    <w:p>
      <w:pPr>
        <w:pStyle w:val="ListBullet"/>
      </w:pPr>
      <w:r>
        <w:t>Handle sensitive data carefully: income, occupation, doctor/embryologist IDs, embryo images, genetic/ploidy data and lifestyle details.</w:t>
      </w:r>
    </w:p>
    <w:p>
      <w:pPr>
        <w:pStyle w:val="ListBullet"/>
      </w:pPr>
      <w:r>
        <w:t>Keep the system framed as clinical decision support; the model should not make autonomous treatment decisions.</w:t>
      </w:r>
    </w:p>
    <w:p>
      <w:pPr>
        <w:pStyle w:val="Heading1"/>
      </w:pPr>
      <w:r>
        <w:t>Doctor / Clinic Questions</w:t>
      </w:r>
    </w:p>
    <w:p>
      <w:pPr>
        <w:pStyle w:val="ListNumber"/>
      </w:pPr>
      <w:r>
        <w:t>Which IVF variables are routinely recorded in electronic or paper records?</w:t>
      </w:r>
    </w:p>
    <w:p>
      <w:pPr>
        <w:pStyle w:val="ListNumber"/>
      </w:pPr>
      <w:r>
        <w:t>Is live birth available, or only clinical pregnancy?</w:t>
      </w:r>
    </w:p>
    <w:p>
      <w:pPr>
        <w:pStyle w:val="ListNumber"/>
      </w:pPr>
      <w:r>
        <w:t>Approximately how many IVF cycles are available, and from which years?</w:t>
      </w:r>
    </w:p>
    <w:p>
      <w:pPr>
        <w:pStyle w:val="ListNumber"/>
      </w:pPr>
      <w:r>
        <w:t>Are embryology variables available in structured form?</w:t>
      </w:r>
    </w:p>
    <w:p>
      <w:pPr>
        <w:pStyle w:val="ListNumber"/>
      </w:pPr>
      <w:r>
        <w:t>Are stimulation dose, trigger and follicle-monitoring variables available?</w:t>
      </w:r>
    </w:p>
    <w:p>
      <w:pPr>
        <w:pStyle w:val="ListNumber"/>
      </w:pPr>
      <w:r>
        <w:t>Are lifestyle variables already recorded, or would a questionnaire be needed?</w:t>
      </w:r>
    </w:p>
    <w:p>
      <w:pPr>
        <w:pStyle w:val="ListNumber"/>
      </w:pPr>
      <w:r>
        <w:t>Can data from more than one clinic, doctor, year or time period be accessed?</w:t>
      </w:r>
    </w:p>
    <w:p>
      <w:pPr>
        <w:pStyle w:val="ListNumber"/>
      </w:pPr>
      <w:r>
        <w:t>Can clinicians review whether explanation outputs are meaningful?</w:t>
      </w:r>
    </w:p>
    <w:p>
      <w:pPr>
        <w:pStyle w:val="ListNumber"/>
      </w:pPr>
      <w:r>
        <w:t>What anonymization, permission and ethics process will be required?</w:t>
      </w:r>
    </w:p>
    <w:p>
      <w:r>
        <w:br w:type="page"/>
      </w:r>
    </w:p>
    <w:p>
      <w:pPr>
        <w:pStyle w:val="Heading1"/>
      </w:pPr>
      <w:r>
        <w:t>Title Implication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Data Available</w:t>
            </w:r>
          </w:p>
        </w:tc>
        <w:tc>
          <w:tcPr>
            <w:tcW w:type="dxa" w:w="36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Safe Topic Direction</w:t>
            </w:r>
          </w:p>
        </w:tc>
        <w:tc>
          <w:tcPr>
            <w:tcW w:type="dxa" w:w="280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Avoid Claiming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data only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clinical IVF outcome prediction.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Multimodal or embryology-based title.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+ embryology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multimodal IVF outcome prediction.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Image/deep-learning claims unless images are available.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+ embryology + lifestyle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Personalized IVF prediction using clinical, embryological and lifestyle data.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effect claims without reliable measurement.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Independent clinic/source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validation in Indian IVF settings can be considered.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validation if only one-center internal split exists.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 possible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Clinician-facing explanation/usability evaluation can be added.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deployment or improved success rate.</w:t>
            </w:r>
          </w:p>
        </w:tc>
      </w:tr>
    </w:tbl>
    <w:p/>
    <w:p>
      <w:pPr>
        <w:pStyle w:val="Heading1"/>
      </w:pPr>
      <w:r>
        <w:t>Current Safe Position For Guide</w:t>
      </w:r>
    </w:p>
    <w:p>
      <w:r>
        <w:t>The safest current position is that the PhD direction is dataset-dependent. A clinical-data-only study is still possible, but the stronger topic is clinical plus embryological data with explainability and decision-support framing. Indian validation, lifestyle data, external validation and clinician usability should remain conditional until data access is confirmed.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