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0"/>
        </w:rPr>
        <w:t>Candidate PhD Topic Directions</w:t>
      </w:r>
    </w:p>
    <w:p>
      <w:r>
        <w:rPr>
          <w:rFonts w:ascii="Calibri" w:hAnsi="Calibri"/>
          <w:color w:val="555555"/>
          <w:sz w:val="22"/>
        </w:rPr>
        <w:t>Guide review pack | Topic options for discussion, not final title approval</w:t>
      </w:r>
    </w:p>
    <w:p/>
    <w:p>
      <w:pPr>
        <w:pStyle w:val="Heading1"/>
      </w:pPr>
      <w:r>
        <w:t>Current Position</w:t>
      </w:r>
    </w:p>
    <w:p>
      <w:r>
        <w:t>The title should not be finalized before clinic data feasibility is confirmed. The current literature supports a strong direction, but the final wording must depend on outcome availability, data modality and validation feasibility.</w:t>
      </w:r>
    </w:p>
    <w:p>
      <w:pPr>
        <w:pStyle w:val="Heading1"/>
      </w:pPr>
      <w:r>
        <w:t>Why A Generic Title Is Weak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F2F4F7"/>
            <w:vAlign w:val="center"/>
          </w:tcPr>
          <w:p>
            <w:pPr>
              <w:spacing w:after="0"/>
            </w:pPr>
            <w:r/>
            <w:r>
              <w:rPr>
                <w:rFonts w:ascii="Calibri" w:hAnsi="Calibri"/>
                <w:b/>
                <w:sz w:val="18"/>
              </w:rPr>
              <w:t>Weak Title Direction</w:t>
            </w:r>
          </w:p>
        </w:tc>
        <w:tc>
          <w:tcPr>
            <w:tcW w:type="dxa" w:w="3240"/>
            <w:shd w:fill="F2F4F7"/>
            <w:vAlign w:val="center"/>
          </w:tcPr>
          <w:p>
            <w:pPr>
              <w:spacing w:after="0"/>
            </w:pPr>
            <w:r/>
            <w:r>
              <w:rPr>
                <w:rFonts w:ascii="Calibri" w:hAnsi="Calibri"/>
                <w:b/>
                <w:sz w:val="18"/>
              </w:rPr>
              <w:t>Why It Is Weak</w:t>
            </w:r>
          </w:p>
        </w:tc>
        <w:tc>
          <w:tcPr>
            <w:tcW w:type="dxa" w:w="3240"/>
            <w:shd w:fill="F2F4F7"/>
            <w:vAlign w:val="center"/>
          </w:tcPr>
          <w:p>
            <w:pPr>
              <w:spacing w:after="0"/>
            </w:pPr>
            <w:r/>
            <w:r>
              <w:rPr>
                <w:rFonts w:ascii="Calibri" w:hAnsi="Calibri"/>
                <w:b/>
                <w:sz w:val="18"/>
              </w:rPr>
              <w:t>Stronger Direction</w:t>
            </w:r>
          </w:p>
        </w:tc>
      </w:tr>
      <w:tr>
        <w:tc>
          <w:tcPr>
            <w:tcW w:type="dxa" w:w="2592"/>
            <w:vAlign w:val="center"/>
          </w:tcPr>
          <w:p>
            <w:pPr>
              <w:spacing w:after="0"/>
            </w:pPr>
            <w:r/>
            <w:r>
              <w:rPr>
                <w:rFonts w:ascii="Calibri" w:hAnsi="Calibri"/>
                <w:b w:val="0"/>
                <w:sz w:val="18"/>
              </w:rPr>
              <w:t>Machine Learning Model for IVF Success Prediction</w:t>
            </w:r>
          </w:p>
        </w:tc>
        <w:tc>
          <w:tcPr>
            <w:tcW w:type="dxa" w:w="3240"/>
            <w:vAlign w:val="center"/>
          </w:tcPr>
          <w:p>
            <w:pPr>
              <w:spacing w:after="0"/>
            </w:pPr>
            <w:r/>
            <w:r>
              <w:rPr>
                <w:rFonts w:ascii="Calibri" w:hAnsi="Calibri"/>
                <w:b w:val="0"/>
                <w:sz w:val="18"/>
              </w:rPr>
              <w:t>Many papers already build IVF prediction models; this sounds like a classifier-comparison study.</w:t>
            </w:r>
          </w:p>
        </w:tc>
        <w:tc>
          <w:tcPr>
            <w:tcW w:type="dxa" w:w="3240"/>
            <w:vAlign w:val="center"/>
          </w:tcPr>
          <w:p>
            <w:pPr>
              <w:spacing w:after="0"/>
            </w:pPr>
            <w:r/>
            <w:r>
              <w:rPr>
                <w:rFonts w:ascii="Calibri" w:hAnsi="Calibri"/>
                <w:b w:val="0"/>
                <w:sz w:val="18"/>
              </w:rPr>
              <w:t>Explainable, personalized and clinically usable decision support for IVF outcome prediction.</w:t>
            </w:r>
          </w:p>
        </w:tc>
      </w:tr>
      <w:tr>
        <w:tc>
          <w:tcPr>
            <w:tcW w:type="dxa" w:w="2592"/>
            <w:vAlign w:val="center"/>
          </w:tcPr>
          <w:p>
            <w:pPr>
              <w:spacing w:after="0"/>
            </w:pPr>
            <w:r/>
            <w:r>
              <w:rPr>
                <w:rFonts w:ascii="Calibri" w:hAnsi="Calibri"/>
                <w:b w:val="0"/>
                <w:sz w:val="18"/>
              </w:rPr>
              <w:t>Deep Learning for IVF Prediction</w:t>
            </w:r>
          </w:p>
        </w:tc>
        <w:tc>
          <w:tcPr>
            <w:tcW w:type="dxa" w:w="3240"/>
            <w:vAlign w:val="center"/>
          </w:tcPr>
          <w:p>
            <w:pPr>
              <w:spacing w:after="0"/>
            </w:pPr>
            <w:r/>
            <w:r>
              <w:rPr>
                <w:rFonts w:ascii="Calibri" w:hAnsi="Calibri"/>
                <w:b w:val="0"/>
                <w:sz w:val="18"/>
              </w:rPr>
              <w:t>Deep learning is data-dependent and should not be promised without image/time-lapse or large-scale data.</w:t>
            </w:r>
          </w:p>
        </w:tc>
        <w:tc>
          <w:tcPr>
            <w:tcW w:type="dxa" w:w="3240"/>
            <w:vAlign w:val="center"/>
          </w:tcPr>
          <w:p>
            <w:pPr>
              <w:spacing w:after="0"/>
            </w:pPr>
            <w:r/>
            <w:r>
              <w:rPr>
                <w:rFonts w:ascii="Calibri" w:hAnsi="Calibri"/>
                <w:b w:val="0"/>
                <w:sz w:val="18"/>
              </w:rPr>
              <w:t>Use deep learning only as a conditional method if the dataset justifies it.</w:t>
            </w:r>
          </w:p>
        </w:tc>
      </w:tr>
      <w:tr>
        <w:tc>
          <w:tcPr>
            <w:tcW w:type="dxa" w:w="2592"/>
            <w:vAlign w:val="center"/>
          </w:tcPr>
          <w:p>
            <w:pPr>
              <w:spacing w:after="0"/>
            </w:pPr>
            <w:r/>
            <w:r>
              <w:rPr>
                <w:rFonts w:ascii="Calibri" w:hAnsi="Calibri"/>
                <w:b w:val="0"/>
                <w:sz w:val="18"/>
              </w:rPr>
              <w:t>AI to Improve IVF Success</w:t>
            </w:r>
          </w:p>
        </w:tc>
        <w:tc>
          <w:tcPr>
            <w:tcW w:type="dxa" w:w="3240"/>
            <w:vAlign w:val="center"/>
          </w:tcPr>
          <w:p>
            <w:pPr>
              <w:spacing w:after="0"/>
            </w:pPr>
            <w:r/>
            <w:r>
              <w:rPr>
                <w:rFonts w:ascii="Calibri" w:hAnsi="Calibri"/>
                <w:b w:val="0"/>
                <w:sz w:val="18"/>
              </w:rPr>
              <w:t>Improved success requires prospective clinical outcome evidence.</w:t>
            </w:r>
          </w:p>
        </w:tc>
        <w:tc>
          <w:tcPr>
            <w:tcW w:type="dxa" w:w="3240"/>
            <w:vAlign w:val="center"/>
          </w:tcPr>
          <w:p>
            <w:pPr>
              <w:spacing w:after="0"/>
            </w:pPr>
            <w:r/>
            <w:r>
              <w:rPr>
                <w:rFonts w:ascii="Calibri" w:hAnsi="Calibri"/>
                <w:b w:val="0"/>
                <w:sz w:val="18"/>
              </w:rPr>
              <w:t>AI-assisted prediction, explanation and counseling support.</w:t>
            </w:r>
          </w:p>
        </w:tc>
      </w:tr>
    </w:tbl>
    <w:p/>
    <w:p>
      <w:pPr>
        <w:pStyle w:val="Heading1"/>
      </w:pPr>
      <w:r>
        <w:t>Candidate Directions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2"/>
            <w:shd w:fill="F2F4F7"/>
            <w:vAlign w:val="center"/>
          </w:tcPr>
          <w:p>
            <w:pPr>
              <w:spacing w:after="0"/>
            </w:pPr>
            <w:r/>
            <w:r>
              <w:rPr>
                <w:rFonts w:ascii="Calibri" w:hAnsi="Calibri"/>
                <w:b/>
                <w:sz w:val="18"/>
              </w:rPr>
              <w:t>Rank</w:t>
            </w:r>
          </w:p>
        </w:tc>
        <w:tc>
          <w:tcPr>
            <w:tcW w:type="dxa" w:w="3240"/>
            <w:shd w:fill="F2F4F7"/>
            <w:vAlign w:val="center"/>
          </w:tcPr>
          <w:p>
            <w:pPr>
              <w:spacing w:after="0"/>
            </w:pPr>
            <w:r/>
            <w:r>
              <w:rPr>
                <w:rFonts w:ascii="Calibri" w:hAnsi="Calibri"/>
                <w:b/>
                <w:sz w:val="18"/>
              </w:rPr>
              <w:t>Candidate Direction</w:t>
            </w:r>
          </w:p>
        </w:tc>
        <w:tc>
          <w:tcPr>
            <w:tcW w:type="dxa" w:w="2952"/>
            <w:shd w:fill="F2F4F7"/>
            <w:vAlign w:val="center"/>
          </w:tcPr>
          <w:p>
            <w:pPr>
              <w:spacing w:after="0"/>
            </w:pPr>
            <w:r/>
            <w:r>
              <w:rPr>
                <w:rFonts w:ascii="Calibri" w:hAnsi="Calibri"/>
                <w:b/>
                <w:sz w:val="18"/>
              </w:rPr>
              <w:t>Evidence Support</w:t>
            </w:r>
          </w:p>
        </w:tc>
        <w:tc>
          <w:tcPr>
            <w:tcW w:type="dxa" w:w="2088"/>
            <w:shd w:fill="F2F4F7"/>
            <w:vAlign w:val="center"/>
          </w:tcPr>
          <w:p>
            <w:pPr>
              <w:spacing w:after="0"/>
            </w:pPr>
            <w:r/>
            <w:r>
              <w:rPr>
                <w:rFonts w:ascii="Calibri" w:hAnsi="Calibri"/>
                <w:b/>
                <w:sz w:val="18"/>
              </w:rPr>
              <w:t>Risk / Dependency</w:t>
            </w:r>
          </w:p>
        </w:tc>
      </w:tr>
      <w:tr>
        <w:tc>
          <w:tcPr>
            <w:tcW w:type="dxa" w:w="792"/>
            <w:vAlign w:val="center"/>
          </w:tcPr>
          <w:p>
            <w:pPr>
              <w:spacing w:after="0"/>
            </w:pPr>
            <w:r/>
            <w:r>
              <w:rPr>
                <w:rFonts w:ascii="Calibri" w:hAnsi="Calibri"/>
                <w:b w:val="0"/>
                <w:sz w:val="18"/>
              </w:rPr>
              <w:t>1</w:t>
            </w:r>
          </w:p>
        </w:tc>
        <w:tc>
          <w:tcPr>
            <w:tcW w:type="dxa" w:w="3240"/>
            <w:vAlign w:val="center"/>
          </w:tcPr>
          <w:p>
            <w:pPr>
              <w:spacing w:after="0"/>
            </w:pPr>
            <w:r/>
            <w:r>
              <w:rPr>
                <w:rFonts w:ascii="Calibri" w:hAnsi="Calibri"/>
                <w:b w:val="0"/>
                <w:sz w:val="18"/>
              </w:rPr>
              <w:t>Explainable and personalized clinical decision-support framework for IVF outcome prediction.</w:t>
            </w:r>
          </w:p>
        </w:tc>
        <w:tc>
          <w:tcPr>
            <w:tcW w:type="dxa" w:w="2952"/>
            <w:vAlign w:val="center"/>
          </w:tcPr>
          <w:p>
            <w:pPr>
              <w:spacing w:after="0"/>
            </w:pPr>
            <w:r/>
            <w:r>
              <w:rPr>
                <w:rFonts w:ascii="Calibri" w:hAnsi="Calibri"/>
                <w:b w:val="0"/>
                <w:sz w:val="18"/>
              </w:rPr>
              <w:t>Best overall fit with repeated gaps: XAI, CDSS, personalization, validation and clinical usefulness.</w:t>
            </w:r>
          </w:p>
        </w:tc>
        <w:tc>
          <w:tcPr>
            <w:tcW w:type="dxa" w:w="2088"/>
            <w:vAlign w:val="center"/>
          </w:tcPr>
          <w:p>
            <w:pPr>
              <w:spacing w:after="0"/>
            </w:pPr>
            <w:r/>
            <w:r>
              <w:rPr>
                <w:rFonts w:ascii="Calibri" w:hAnsi="Calibri"/>
                <w:b w:val="0"/>
                <w:sz w:val="18"/>
              </w:rPr>
              <w:t>Needs clinic outcome data and careful scope control.</w:t>
            </w:r>
          </w:p>
        </w:tc>
      </w:tr>
      <w:tr>
        <w:tc>
          <w:tcPr>
            <w:tcW w:type="dxa" w:w="792"/>
            <w:vAlign w:val="center"/>
          </w:tcPr>
          <w:p>
            <w:pPr>
              <w:spacing w:after="0"/>
            </w:pPr>
            <w:r/>
            <w:r>
              <w:rPr>
                <w:rFonts w:ascii="Calibri" w:hAnsi="Calibri"/>
                <w:b w:val="0"/>
                <w:sz w:val="18"/>
              </w:rPr>
              <w:t>2</w:t>
            </w:r>
          </w:p>
        </w:tc>
        <w:tc>
          <w:tcPr>
            <w:tcW w:type="dxa" w:w="3240"/>
            <w:vAlign w:val="center"/>
          </w:tcPr>
          <w:p>
            <w:pPr>
              <w:spacing w:after="0"/>
            </w:pPr>
            <w:r/>
            <w:r>
              <w:rPr>
                <w:rFonts w:ascii="Calibri" w:hAnsi="Calibri"/>
                <w:b w:val="0"/>
                <w:sz w:val="18"/>
              </w:rPr>
              <w:t>Trustworthy AI-based decision support for ovarian stimulation and IVF outcomes.</w:t>
            </w:r>
          </w:p>
        </w:tc>
        <w:tc>
          <w:tcPr>
            <w:tcW w:type="dxa" w:w="2952"/>
            <w:vAlign w:val="center"/>
          </w:tcPr>
          <w:p>
            <w:pPr>
              <w:spacing w:after="0"/>
            </w:pPr>
            <w:r/>
            <w:r>
              <w:rPr>
                <w:rFonts w:ascii="Calibri" w:hAnsi="Calibri"/>
                <w:b w:val="0"/>
                <w:sz w:val="18"/>
              </w:rPr>
              <w:t>Strong connection with dose, trigger and protocol decision-support literature.</w:t>
            </w:r>
          </w:p>
        </w:tc>
        <w:tc>
          <w:tcPr>
            <w:tcW w:type="dxa" w:w="2088"/>
            <w:vAlign w:val="center"/>
          </w:tcPr>
          <w:p>
            <w:pPr>
              <w:spacing w:after="0"/>
            </w:pPr>
            <w:r/>
            <w:r>
              <w:rPr>
                <w:rFonts w:ascii="Calibri" w:hAnsi="Calibri"/>
                <w:b w:val="0"/>
                <w:sz w:val="18"/>
              </w:rPr>
              <w:t>Requires detailed stimulation and protocol data.</w:t>
            </w:r>
          </w:p>
        </w:tc>
      </w:tr>
      <w:tr>
        <w:tc>
          <w:tcPr>
            <w:tcW w:type="dxa" w:w="792"/>
            <w:vAlign w:val="center"/>
          </w:tcPr>
          <w:p>
            <w:pPr>
              <w:spacing w:after="0"/>
            </w:pPr>
            <w:r/>
            <w:r>
              <w:rPr>
                <w:rFonts w:ascii="Calibri" w:hAnsi="Calibri"/>
                <w:b w:val="0"/>
                <w:sz w:val="18"/>
              </w:rPr>
              <w:t>3</w:t>
            </w:r>
          </w:p>
        </w:tc>
        <w:tc>
          <w:tcPr>
            <w:tcW w:type="dxa" w:w="3240"/>
            <w:vAlign w:val="center"/>
          </w:tcPr>
          <w:p>
            <w:pPr>
              <w:spacing w:after="0"/>
            </w:pPr>
            <w:r/>
            <w:r>
              <w:rPr>
                <w:rFonts w:ascii="Calibri" w:hAnsi="Calibri"/>
                <w:b w:val="0"/>
                <w:sz w:val="18"/>
              </w:rPr>
              <w:t>Explainable multimodal IVF prediction using clinical and embryological data.</w:t>
            </w:r>
          </w:p>
        </w:tc>
        <w:tc>
          <w:tcPr>
            <w:tcW w:type="dxa" w:w="2952"/>
            <w:vAlign w:val="center"/>
          </w:tcPr>
          <w:p>
            <w:pPr>
              <w:spacing w:after="0"/>
            </w:pPr>
            <w:r/>
            <w:r>
              <w:rPr>
                <w:rFonts w:ascii="Calibri" w:hAnsi="Calibri"/>
                <w:b w:val="0"/>
                <w:sz w:val="18"/>
              </w:rPr>
              <w:t>Strong if structured embryology variables are available; supports multimodal theme.</w:t>
            </w:r>
          </w:p>
        </w:tc>
        <w:tc>
          <w:tcPr>
            <w:tcW w:type="dxa" w:w="2088"/>
            <w:vAlign w:val="center"/>
          </w:tcPr>
          <w:p>
            <w:pPr>
              <w:spacing w:after="0"/>
            </w:pPr>
            <w:r/>
            <w:r>
              <w:rPr>
                <w:rFonts w:ascii="Calibri" w:hAnsi="Calibri"/>
                <w:b w:val="0"/>
                <w:sz w:val="18"/>
              </w:rPr>
              <w:t>Cannot be used if embryology data are unavailable or incomplete.</w:t>
            </w:r>
          </w:p>
        </w:tc>
      </w:tr>
      <w:tr>
        <w:tc>
          <w:tcPr>
            <w:tcW w:type="dxa" w:w="792"/>
            <w:vAlign w:val="center"/>
          </w:tcPr>
          <w:p>
            <w:pPr>
              <w:spacing w:after="0"/>
            </w:pPr>
            <w:r/>
            <w:r>
              <w:rPr>
                <w:rFonts w:ascii="Calibri" w:hAnsi="Calibri"/>
                <w:b w:val="0"/>
                <w:sz w:val="18"/>
              </w:rPr>
              <w:t>4</w:t>
            </w:r>
          </w:p>
        </w:tc>
        <w:tc>
          <w:tcPr>
            <w:tcW w:type="dxa" w:w="3240"/>
            <w:vAlign w:val="center"/>
          </w:tcPr>
          <w:p>
            <w:pPr>
              <w:spacing w:after="0"/>
            </w:pPr>
            <w:r/>
            <w:r>
              <w:rPr>
                <w:rFonts w:ascii="Calibri" w:hAnsi="Calibri"/>
                <w:b w:val="0"/>
                <w:sz w:val="18"/>
              </w:rPr>
              <w:t>Integration of clinical, embryological and lifestyle data for explainable IVF success prediction.</w:t>
            </w:r>
          </w:p>
        </w:tc>
        <w:tc>
          <w:tcPr>
            <w:tcW w:type="dxa" w:w="2952"/>
            <w:vAlign w:val="center"/>
          </w:tcPr>
          <w:p>
            <w:pPr>
              <w:spacing w:after="0"/>
            </w:pPr>
            <w:r/>
            <w:r>
              <w:rPr>
                <w:rFonts w:ascii="Calibri" w:hAnsi="Calibri"/>
                <w:b w:val="0"/>
                <w:sz w:val="18"/>
              </w:rPr>
              <w:t>Strong personalization angle if lifestyle data can be collected reliably.</w:t>
            </w:r>
          </w:p>
        </w:tc>
        <w:tc>
          <w:tcPr>
            <w:tcW w:type="dxa" w:w="2088"/>
            <w:vAlign w:val="center"/>
          </w:tcPr>
          <w:p>
            <w:pPr>
              <w:spacing w:after="0"/>
            </w:pPr>
            <w:r/>
            <w:r>
              <w:rPr>
                <w:rFonts w:ascii="Calibri" w:hAnsi="Calibri"/>
                <w:b w:val="0"/>
                <w:sz w:val="18"/>
              </w:rPr>
              <w:t>Lifestyle data availability and quality are uncertain.</w:t>
            </w:r>
          </w:p>
        </w:tc>
      </w:tr>
      <w:tr>
        <w:tc>
          <w:tcPr>
            <w:tcW w:type="dxa" w:w="792"/>
            <w:vAlign w:val="center"/>
          </w:tcPr>
          <w:p>
            <w:pPr>
              <w:spacing w:after="0"/>
            </w:pPr>
            <w:r/>
            <w:r>
              <w:rPr>
                <w:rFonts w:ascii="Calibri" w:hAnsi="Calibri"/>
                <w:b w:val="0"/>
                <w:sz w:val="18"/>
              </w:rPr>
              <w:t>5</w:t>
            </w:r>
          </w:p>
        </w:tc>
        <w:tc>
          <w:tcPr>
            <w:tcW w:type="dxa" w:w="3240"/>
            <w:vAlign w:val="center"/>
          </w:tcPr>
          <w:p>
            <w:pPr>
              <w:spacing w:after="0"/>
            </w:pPr>
            <w:r/>
            <w:r>
              <w:rPr>
                <w:rFonts w:ascii="Calibri" w:hAnsi="Calibri"/>
                <w:b w:val="0"/>
                <w:sz w:val="18"/>
              </w:rPr>
              <w:t>Explainable ML for IVF live-birth prediction with Indian population validation.</w:t>
            </w:r>
          </w:p>
        </w:tc>
        <w:tc>
          <w:tcPr>
            <w:tcW w:type="dxa" w:w="2952"/>
            <w:vAlign w:val="center"/>
          </w:tcPr>
          <w:p>
            <w:pPr>
              <w:spacing w:after="0"/>
            </w:pPr>
            <w:r/>
            <w:r>
              <w:rPr>
                <w:rFonts w:ascii="Calibri" w:hAnsi="Calibri"/>
                <w:b w:val="0"/>
                <w:sz w:val="18"/>
              </w:rPr>
              <w:t>Strong Indian-context contribution if data is available.</w:t>
            </w:r>
          </w:p>
        </w:tc>
        <w:tc>
          <w:tcPr>
            <w:tcW w:type="dxa" w:w="2088"/>
            <w:vAlign w:val="center"/>
          </w:tcPr>
          <w:p>
            <w:pPr>
              <w:spacing w:after="0"/>
            </w:pPr>
            <w:r/>
            <w:r>
              <w:rPr>
                <w:rFonts w:ascii="Calibri" w:hAnsi="Calibri"/>
                <w:b w:val="0"/>
                <w:sz w:val="18"/>
              </w:rPr>
              <w:t>Depends heavily on access to Indian clinic data and live-birth outcome.</w:t>
            </w:r>
          </w:p>
        </w:tc>
      </w:tr>
    </w:tbl>
    <w:p/>
    <w:p>
      <w:r>
        <w:br w:type="page"/>
      </w:r>
    </w:p>
    <w:p>
      <w:pPr>
        <w:pStyle w:val="Heading1"/>
      </w:pPr>
      <w:r>
        <w:t>Decision Matrix</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F2F4F7"/>
            <w:vAlign w:val="center"/>
          </w:tcPr>
          <w:p>
            <w:pPr>
              <w:spacing w:after="0"/>
            </w:pPr>
            <w:r/>
            <w:r>
              <w:rPr>
                <w:rFonts w:ascii="Calibri" w:hAnsi="Calibri"/>
                <w:b/>
                <w:sz w:val="18"/>
              </w:rPr>
              <w:t>Decision Factor</w:t>
            </w:r>
          </w:p>
        </w:tc>
        <w:tc>
          <w:tcPr>
            <w:tcW w:type="dxa" w:w="3240"/>
            <w:shd w:fill="F2F4F7"/>
            <w:vAlign w:val="center"/>
          </w:tcPr>
          <w:p>
            <w:pPr>
              <w:spacing w:after="0"/>
            </w:pPr>
            <w:r/>
            <w:r>
              <w:rPr>
                <w:rFonts w:ascii="Calibri" w:hAnsi="Calibri"/>
                <w:b/>
                <w:sz w:val="18"/>
              </w:rPr>
              <w:t>Best Current Choice</w:t>
            </w:r>
          </w:p>
        </w:tc>
        <w:tc>
          <w:tcPr>
            <w:tcW w:type="dxa" w:w="3384"/>
            <w:shd w:fill="F2F4F7"/>
            <w:vAlign w:val="center"/>
          </w:tcPr>
          <w:p>
            <w:pPr>
              <w:spacing w:after="0"/>
            </w:pPr>
            <w:r/>
            <w:r>
              <w:rPr>
                <w:rFonts w:ascii="Calibri" w:hAnsi="Calibri"/>
                <w:b/>
                <w:sz w:val="18"/>
              </w:rPr>
              <w:t>Reason</w:t>
            </w:r>
          </w:p>
        </w:tc>
      </w:tr>
      <w:tr>
        <w:tc>
          <w:tcPr>
            <w:tcW w:type="dxa" w:w="2448"/>
            <w:vAlign w:val="center"/>
          </w:tcPr>
          <w:p>
            <w:pPr>
              <w:spacing w:after="0"/>
            </w:pPr>
            <w:r/>
            <w:r>
              <w:rPr>
                <w:rFonts w:ascii="Calibri" w:hAnsi="Calibri"/>
                <w:b w:val="0"/>
                <w:sz w:val="18"/>
              </w:rPr>
              <w:t>Academic novelty</w:t>
            </w:r>
          </w:p>
        </w:tc>
        <w:tc>
          <w:tcPr>
            <w:tcW w:type="dxa" w:w="3240"/>
            <w:vAlign w:val="center"/>
          </w:tcPr>
          <w:p>
            <w:pPr>
              <w:spacing w:after="0"/>
            </w:pPr>
            <w:r/>
            <w:r>
              <w:rPr>
                <w:rFonts w:ascii="Calibri" w:hAnsi="Calibri"/>
                <w:b w:val="0"/>
                <w:sz w:val="18"/>
              </w:rPr>
              <w:t>XAI + CDSS + validation-aware IVF prediction.</w:t>
            </w:r>
          </w:p>
        </w:tc>
        <w:tc>
          <w:tcPr>
            <w:tcW w:type="dxa" w:w="3384"/>
            <w:vAlign w:val="center"/>
          </w:tcPr>
          <w:p>
            <w:pPr>
              <w:spacing w:after="0"/>
            </w:pPr>
            <w:r/>
            <w:r>
              <w:rPr>
                <w:rFonts w:ascii="Calibri" w:hAnsi="Calibri"/>
                <w:b w:val="0"/>
                <w:sz w:val="18"/>
              </w:rPr>
              <w:t>Stronger than only comparing ML algorithms.</w:t>
            </w:r>
          </w:p>
        </w:tc>
      </w:tr>
      <w:tr>
        <w:tc>
          <w:tcPr>
            <w:tcW w:type="dxa" w:w="2448"/>
            <w:vAlign w:val="center"/>
          </w:tcPr>
          <w:p>
            <w:pPr>
              <w:spacing w:after="0"/>
            </w:pPr>
            <w:r/>
            <w:r>
              <w:rPr>
                <w:rFonts w:ascii="Calibri" w:hAnsi="Calibri"/>
                <w:b w:val="0"/>
                <w:sz w:val="18"/>
              </w:rPr>
              <w:t>Department fit</w:t>
            </w:r>
          </w:p>
        </w:tc>
        <w:tc>
          <w:tcPr>
            <w:tcW w:type="dxa" w:w="3240"/>
            <w:vAlign w:val="center"/>
          </w:tcPr>
          <w:p>
            <w:pPr>
              <w:spacing w:after="0"/>
            </w:pPr>
            <w:r/>
            <w:r>
              <w:rPr>
                <w:rFonts w:ascii="Calibri" w:hAnsi="Calibri"/>
                <w:b w:val="0"/>
                <w:sz w:val="18"/>
              </w:rPr>
              <w:t>Computer Applications with healthcare informatics and predictive analytics.</w:t>
            </w:r>
          </w:p>
        </w:tc>
        <w:tc>
          <w:tcPr>
            <w:tcW w:type="dxa" w:w="3384"/>
            <w:vAlign w:val="center"/>
          </w:tcPr>
          <w:p>
            <w:pPr>
              <w:spacing w:after="0"/>
            </w:pPr>
            <w:r/>
            <w:r>
              <w:rPr>
                <w:rFonts w:ascii="Calibri" w:hAnsi="Calibri"/>
                <w:b w:val="0"/>
                <w:sz w:val="18"/>
              </w:rPr>
              <w:t>Allows technical contribution and applied clinical relevance.</w:t>
            </w:r>
          </w:p>
        </w:tc>
      </w:tr>
      <w:tr>
        <w:tc>
          <w:tcPr>
            <w:tcW w:type="dxa" w:w="2448"/>
            <w:vAlign w:val="center"/>
          </w:tcPr>
          <w:p>
            <w:pPr>
              <w:spacing w:after="0"/>
            </w:pPr>
            <w:r/>
            <w:r>
              <w:rPr>
                <w:rFonts w:ascii="Calibri" w:hAnsi="Calibri"/>
                <w:b w:val="0"/>
                <w:sz w:val="18"/>
              </w:rPr>
              <w:t>Data feasibility</w:t>
            </w:r>
          </w:p>
        </w:tc>
        <w:tc>
          <w:tcPr>
            <w:tcW w:type="dxa" w:w="3240"/>
            <w:vAlign w:val="center"/>
          </w:tcPr>
          <w:p>
            <w:pPr>
              <w:spacing w:after="0"/>
            </w:pPr>
            <w:r/>
            <w:r>
              <w:rPr>
                <w:rFonts w:ascii="Calibri" w:hAnsi="Calibri"/>
                <w:b w:val="0"/>
                <w:sz w:val="18"/>
              </w:rPr>
              <w:t>Keep title flexible until clinic confirms variables.</w:t>
            </w:r>
          </w:p>
        </w:tc>
        <w:tc>
          <w:tcPr>
            <w:tcW w:type="dxa" w:w="3384"/>
            <w:vAlign w:val="center"/>
          </w:tcPr>
          <w:p>
            <w:pPr>
              <w:spacing w:after="0"/>
            </w:pPr>
            <w:r/>
            <w:r>
              <w:rPr>
                <w:rFonts w:ascii="Calibri" w:hAnsi="Calibri"/>
                <w:b w:val="0"/>
                <w:sz w:val="18"/>
              </w:rPr>
              <w:t>Avoids untestable claims.</w:t>
            </w:r>
          </w:p>
        </w:tc>
      </w:tr>
      <w:tr>
        <w:tc>
          <w:tcPr>
            <w:tcW w:type="dxa" w:w="2448"/>
            <w:vAlign w:val="center"/>
          </w:tcPr>
          <w:p>
            <w:pPr>
              <w:spacing w:after="0"/>
            </w:pPr>
            <w:r/>
            <w:r>
              <w:rPr>
                <w:rFonts w:ascii="Calibri" w:hAnsi="Calibri"/>
                <w:b w:val="0"/>
                <w:sz w:val="18"/>
              </w:rPr>
              <w:t>Safest outcome wording</w:t>
            </w:r>
          </w:p>
        </w:tc>
        <w:tc>
          <w:tcPr>
            <w:tcW w:type="dxa" w:w="3240"/>
            <w:vAlign w:val="center"/>
          </w:tcPr>
          <w:p>
            <w:pPr>
              <w:spacing w:after="0"/>
            </w:pPr>
            <w:r/>
            <w:r>
              <w:rPr>
                <w:rFonts w:ascii="Calibri" w:hAnsi="Calibri"/>
                <w:b w:val="0"/>
                <w:sz w:val="18"/>
              </w:rPr>
              <w:t>IVF outcome prediction.</w:t>
            </w:r>
          </w:p>
        </w:tc>
        <w:tc>
          <w:tcPr>
            <w:tcW w:type="dxa" w:w="3384"/>
            <w:vAlign w:val="center"/>
          </w:tcPr>
          <w:p>
            <w:pPr>
              <w:spacing w:after="0"/>
            </w:pPr>
            <w:r/>
            <w:r>
              <w:rPr>
                <w:rFonts w:ascii="Calibri" w:hAnsi="Calibri"/>
                <w:b w:val="0"/>
                <w:sz w:val="18"/>
              </w:rPr>
              <w:t>Can later become clinical pregnancy or live birth if data allows.</w:t>
            </w:r>
          </w:p>
        </w:tc>
      </w:tr>
      <w:tr>
        <w:tc>
          <w:tcPr>
            <w:tcW w:type="dxa" w:w="2448"/>
            <w:vAlign w:val="center"/>
          </w:tcPr>
          <w:p>
            <w:pPr>
              <w:spacing w:after="0"/>
            </w:pPr>
            <w:r/>
            <w:r>
              <w:rPr>
                <w:rFonts w:ascii="Calibri" w:hAnsi="Calibri"/>
                <w:b w:val="0"/>
                <w:sz w:val="18"/>
              </w:rPr>
              <w:t>Safest data wording</w:t>
            </w:r>
          </w:p>
        </w:tc>
        <w:tc>
          <w:tcPr>
            <w:tcW w:type="dxa" w:w="3240"/>
            <w:vAlign w:val="center"/>
          </w:tcPr>
          <w:p>
            <w:pPr>
              <w:spacing w:after="0"/>
            </w:pPr>
            <w:r/>
            <w:r>
              <w:rPr>
                <w:rFonts w:ascii="Calibri" w:hAnsi="Calibri"/>
                <w:b w:val="0"/>
                <w:sz w:val="18"/>
              </w:rPr>
              <w:t>Clinical and embryological data.</w:t>
            </w:r>
          </w:p>
        </w:tc>
        <w:tc>
          <w:tcPr>
            <w:tcW w:type="dxa" w:w="3384"/>
            <w:vAlign w:val="center"/>
          </w:tcPr>
          <w:p>
            <w:pPr>
              <w:spacing w:after="0"/>
            </w:pPr>
            <w:r/>
            <w:r>
              <w:rPr>
                <w:rFonts w:ascii="Calibri" w:hAnsi="Calibri"/>
                <w:b w:val="0"/>
                <w:sz w:val="18"/>
              </w:rPr>
              <w:t>Use only if embryology variables are confirmed; otherwise clinical data only.</w:t>
            </w:r>
          </w:p>
        </w:tc>
      </w:tr>
      <w:tr>
        <w:tc>
          <w:tcPr>
            <w:tcW w:type="dxa" w:w="2448"/>
            <w:vAlign w:val="center"/>
          </w:tcPr>
          <w:p>
            <w:pPr>
              <w:spacing w:after="0"/>
            </w:pPr>
            <w:r/>
            <w:r>
              <w:rPr>
                <w:rFonts w:ascii="Calibri" w:hAnsi="Calibri"/>
                <w:b w:val="0"/>
                <w:sz w:val="18"/>
              </w:rPr>
              <w:t>Safest contribution wording</w:t>
            </w:r>
          </w:p>
        </w:tc>
        <w:tc>
          <w:tcPr>
            <w:tcW w:type="dxa" w:w="3240"/>
            <w:vAlign w:val="center"/>
          </w:tcPr>
          <w:p>
            <w:pPr>
              <w:spacing w:after="0"/>
            </w:pPr>
            <w:r/>
            <w:r>
              <w:rPr>
                <w:rFonts w:ascii="Calibri" w:hAnsi="Calibri"/>
                <w:b w:val="0"/>
                <w:sz w:val="18"/>
              </w:rPr>
              <w:t>Decision-support framework.</w:t>
            </w:r>
          </w:p>
        </w:tc>
        <w:tc>
          <w:tcPr>
            <w:tcW w:type="dxa" w:w="3384"/>
            <w:vAlign w:val="center"/>
          </w:tcPr>
          <w:p>
            <w:pPr>
              <w:spacing w:after="0"/>
            </w:pPr>
            <w:r/>
            <w:r>
              <w:rPr>
                <w:rFonts w:ascii="Calibri" w:hAnsi="Calibri"/>
                <w:b w:val="0"/>
                <w:sz w:val="18"/>
              </w:rPr>
              <w:t>Avoids claiming autonomous decision-making or clinical deployment.</w:t>
            </w:r>
          </w:p>
        </w:tc>
      </w:tr>
    </w:tbl>
    <w:p/>
    <w:p>
      <w:pPr>
        <w:pStyle w:val="Heading1"/>
      </w:pPr>
      <w:r>
        <w:t>Safest Working Title</w:t>
      </w:r>
    </w:p>
    <w:p>
      <w:r>
        <w:t>An Explainable and Personalized Clinical Decision Support Framework for IVF Outcome Prediction Using Multimodal Clinical and Embryological Data</w:t>
      </w:r>
    </w:p>
    <w:p>
      <w:pPr>
        <w:pStyle w:val="Heading1"/>
      </w:pPr>
      <w:r>
        <w:t>Fallback Titles By Dataset</w:t>
      </w:r>
    </w:p>
    <w:tbl>
      <w:tblPr>
        <w:tblStyle w:val="TableGrid"/>
        <w:tblW w:type="auto" w:w="0"/>
        <w:jc w:val="center"/>
        <w:tblLook w:firstColumn="1" w:firstRow="1" w:lastColumn="0" w:lastRow="0" w:noHBand="0" w:noVBand="1" w:val="04A0"/>
      </w:tblPr>
      <w:tblGrid>
        <w:gridCol w:w="4680"/>
        <w:gridCol w:w="4680"/>
      </w:tblGrid>
      <w:tr>
        <w:tc>
          <w:tcPr>
            <w:tcW w:type="dxa" w:w="2952"/>
            <w:shd w:fill="F2F4F7"/>
            <w:vAlign w:val="center"/>
          </w:tcPr>
          <w:p>
            <w:pPr>
              <w:spacing w:after="0"/>
            </w:pPr>
            <w:r/>
            <w:r>
              <w:rPr>
                <w:rFonts w:ascii="Calibri" w:hAnsi="Calibri"/>
                <w:b/>
                <w:sz w:val="18"/>
              </w:rPr>
              <w:t>Dataset Confirmed</w:t>
            </w:r>
          </w:p>
        </w:tc>
        <w:tc>
          <w:tcPr>
            <w:tcW w:type="dxa" w:w="6120"/>
            <w:shd w:fill="F2F4F7"/>
            <w:vAlign w:val="center"/>
          </w:tcPr>
          <w:p>
            <w:pPr>
              <w:spacing w:after="0"/>
            </w:pPr>
            <w:r/>
            <w:r>
              <w:rPr>
                <w:rFonts w:ascii="Calibri" w:hAnsi="Calibri"/>
                <w:b/>
                <w:sz w:val="18"/>
              </w:rPr>
              <w:t>Safer Title Direction</w:t>
            </w:r>
          </w:p>
        </w:tc>
      </w:tr>
      <w:tr>
        <w:tc>
          <w:tcPr>
            <w:tcW w:type="dxa" w:w="2952"/>
            <w:vAlign w:val="center"/>
          </w:tcPr>
          <w:p>
            <w:pPr>
              <w:spacing w:after="0"/>
            </w:pPr>
            <w:r/>
            <w:r>
              <w:rPr>
                <w:rFonts w:ascii="Calibri" w:hAnsi="Calibri"/>
                <w:b w:val="0"/>
                <w:sz w:val="18"/>
              </w:rPr>
              <w:t>Clinical data only</w:t>
            </w:r>
          </w:p>
        </w:tc>
        <w:tc>
          <w:tcPr>
            <w:tcW w:type="dxa" w:w="6120"/>
            <w:vAlign w:val="center"/>
          </w:tcPr>
          <w:p>
            <w:pPr>
              <w:spacing w:after="0"/>
            </w:pPr>
            <w:r/>
            <w:r>
              <w:rPr>
                <w:rFonts w:ascii="Calibri" w:hAnsi="Calibri"/>
                <w:b w:val="0"/>
                <w:sz w:val="18"/>
              </w:rPr>
              <w:t>An Explainable Clinical Decision Support Framework for IVF Outcome Prediction Using Clinical Data.</w:t>
            </w:r>
          </w:p>
        </w:tc>
      </w:tr>
      <w:tr>
        <w:tc>
          <w:tcPr>
            <w:tcW w:type="dxa" w:w="2952"/>
            <w:vAlign w:val="center"/>
          </w:tcPr>
          <w:p>
            <w:pPr>
              <w:spacing w:after="0"/>
            </w:pPr>
            <w:r/>
            <w:r>
              <w:rPr>
                <w:rFonts w:ascii="Calibri" w:hAnsi="Calibri"/>
                <w:b w:val="0"/>
                <w:sz w:val="18"/>
              </w:rPr>
              <w:t>Clinical + embryology</w:t>
            </w:r>
          </w:p>
        </w:tc>
        <w:tc>
          <w:tcPr>
            <w:tcW w:type="dxa" w:w="6120"/>
            <w:vAlign w:val="center"/>
          </w:tcPr>
          <w:p>
            <w:pPr>
              <w:spacing w:after="0"/>
            </w:pPr>
            <w:r/>
            <w:r>
              <w:rPr>
                <w:rFonts w:ascii="Calibri" w:hAnsi="Calibri"/>
                <w:b w:val="0"/>
                <w:sz w:val="18"/>
              </w:rPr>
              <w:t>An Explainable and Personalized Clinical Decision Support Framework for IVF Outcome Prediction Using Multimodal Clinical and Embryological Data.</w:t>
            </w:r>
          </w:p>
        </w:tc>
      </w:tr>
      <w:tr>
        <w:tc>
          <w:tcPr>
            <w:tcW w:type="dxa" w:w="2952"/>
            <w:vAlign w:val="center"/>
          </w:tcPr>
          <w:p>
            <w:pPr>
              <w:spacing w:after="0"/>
            </w:pPr>
            <w:r/>
            <w:r>
              <w:rPr>
                <w:rFonts w:ascii="Calibri" w:hAnsi="Calibri"/>
                <w:b w:val="0"/>
                <w:sz w:val="18"/>
              </w:rPr>
              <w:t>Clinical + embryology + lifestyle</w:t>
            </w:r>
          </w:p>
        </w:tc>
        <w:tc>
          <w:tcPr>
            <w:tcW w:type="dxa" w:w="6120"/>
            <w:vAlign w:val="center"/>
          </w:tcPr>
          <w:p>
            <w:pPr>
              <w:spacing w:after="0"/>
            </w:pPr>
            <w:r/>
            <w:r>
              <w:rPr>
                <w:rFonts w:ascii="Calibri" w:hAnsi="Calibri"/>
                <w:b w:val="0"/>
                <w:sz w:val="18"/>
              </w:rPr>
              <w:t>An Explainable Multimodal Clinical Decision Support Framework for Personalized IVF Outcome Prediction Using Clinical, Embryological and Lifestyle Data.</w:t>
            </w:r>
          </w:p>
        </w:tc>
      </w:tr>
      <w:tr>
        <w:tc>
          <w:tcPr>
            <w:tcW w:type="dxa" w:w="2952"/>
            <w:vAlign w:val="center"/>
          </w:tcPr>
          <w:p>
            <w:pPr>
              <w:spacing w:after="0"/>
            </w:pPr>
            <w:r/>
            <w:r>
              <w:rPr>
                <w:rFonts w:ascii="Calibri" w:hAnsi="Calibri"/>
                <w:b w:val="0"/>
                <w:sz w:val="18"/>
              </w:rPr>
              <w:t>Live birth outcome confirmed</w:t>
            </w:r>
          </w:p>
        </w:tc>
        <w:tc>
          <w:tcPr>
            <w:tcW w:type="dxa" w:w="6120"/>
            <w:vAlign w:val="center"/>
          </w:tcPr>
          <w:p>
            <w:pPr>
              <w:spacing w:after="0"/>
            </w:pPr>
            <w:r/>
            <w:r>
              <w:rPr>
                <w:rFonts w:ascii="Calibri" w:hAnsi="Calibri"/>
                <w:b w:val="0"/>
                <w:sz w:val="18"/>
              </w:rPr>
              <w:t>Use live-birth prediction wording if follow-up and sample size are adequate.</w:t>
            </w:r>
          </w:p>
        </w:tc>
      </w:tr>
      <w:tr>
        <w:tc>
          <w:tcPr>
            <w:tcW w:type="dxa" w:w="2952"/>
            <w:vAlign w:val="center"/>
          </w:tcPr>
          <w:p>
            <w:pPr>
              <w:spacing w:after="0"/>
            </w:pPr>
            <w:r/>
            <w:r>
              <w:rPr>
                <w:rFonts w:ascii="Calibri" w:hAnsi="Calibri"/>
                <w:b w:val="0"/>
                <w:sz w:val="18"/>
              </w:rPr>
              <w:t>Only clinical pregnancy confirmed</w:t>
            </w:r>
          </w:p>
        </w:tc>
        <w:tc>
          <w:tcPr>
            <w:tcW w:type="dxa" w:w="6120"/>
            <w:vAlign w:val="center"/>
          </w:tcPr>
          <w:p>
            <w:pPr>
              <w:spacing w:after="0"/>
            </w:pPr>
            <w:r/>
            <w:r>
              <w:rPr>
                <w:rFonts w:ascii="Calibri" w:hAnsi="Calibri"/>
                <w:b w:val="0"/>
                <w:sz w:val="18"/>
              </w:rPr>
              <w:t>Use clinical pregnancy prediction wording, not live-birth prediction.</w:t>
            </w:r>
          </w:p>
        </w:tc>
      </w:tr>
    </w:tbl>
    <w:p/>
    <w:p>
      <w:pPr>
        <w:pStyle w:val="Heading1"/>
      </w:pPr>
      <w:r>
        <w:t>Conditional Title Extensions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fill="F2F4F7"/>
            <w:vAlign w:val="center"/>
          </w:tcPr>
          <w:p>
            <w:pPr>
              <w:spacing w:after="0"/>
            </w:pPr>
            <w:r/>
            <w:r>
              <w:rPr>
                <w:rFonts w:ascii="Calibri" w:hAnsi="Calibri"/>
                <w:b/>
                <w:sz w:val="18"/>
              </w:rPr>
              <w:t>Extension</w:t>
            </w:r>
          </w:p>
        </w:tc>
        <w:tc>
          <w:tcPr>
            <w:tcW w:type="dxa" w:w="3240"/>
            <w:shd w:fill="F2F4F7"/>
            <w:vAlign w:val="center"/>
          </w:tcPr>
          <w:p>
            <w:pPr>
              <w:spacing w:after="0"/>
            </w:pPr>
            <w:r/>
            <w:r>
              <w:rPr>
                <w:rFonts w:ascii="Calibri" w:hAnsi="Calibri"/>
                <w:b/>
                <w:sz w:val="18"/>
              </w:rPr>
              <w:t>Use Only If</w:t>
            </w:r>
          </w:p>
        </w:tc>
        <w:tc>
          <w:tcPr>
            <w:tcW w:type="dxa" w:w="3096"/>
            <w:shd w:fill="F2F4F7"/>
            <w:vAlign w:val="center"/>
          </w:tcPr>
          <w:p>
            <w:pPr>
              <w:spacing w:after="0"/>
            </w:pPr>
            <w:r/>
            <w:r>
              <w:rPr>
                <w:rFonts w:ascii="Calibri" w:hAnsi="Calibri"/>
                <w:b/>
                <w:sz w:val="18"/>
              </w:rPr>
              <w:t>Avoid If</w:t>
            </w:r>
          </w:p>
        </w:tc>
      </w:tr>
      <w:tr>
        <w:tc>
          <w:tcPr>
            <w:tcW w:type="dxa" w:w="2736"/>
            <w:vAlign w:val="center"/>
          </w:tcPr>
          <w:p>
            <w:pPr>
              <w:spacing w:after="0"/>
            </w:pPr>
            <w:r/>
            <w:r>
              <w:rPr>
                <w:rFonts w:ascii="Calibri" w:hAnsi="Calibri"/>
                <w:b w:val="0"/>
                <w:sz w:val="18"/>
              </w:rPr>
              <w:t>in Indian Women / Indian IVF Settings</w:t>
            </w:r>
          </w:p>
        </w:tc>
        <w:tc>
          <w:tcPr>
            <w:tcW w:type="dxa" w:w="3240"/>
            <w:vAlign w:val="center"/>
          </w:tcPr>
          <w:p>
            <w:pPr>
              <w:spacing w:after="0"/>
            </w:pPr>
            <w:r/>
            <w:r>
              <w:rPr>
                <w:rFonts w:ascii="Calibri" w:hAnsi="Calibri"/>
                <w:b w:val="0"/>
                <w:sz w:val="18"/>
              </w:rPr>
              <w:t>Indian clinic data and validation are available.</w:t>
            </w:r>
          </w:p>
        </w:tc>
        <w:tc>
          <w:tcPr>
            <w:tcW w:type="dxa" w:w="3096"/>
            <w:vAlign w:val="center"/>
          </w:tcPr>
          <w:p>
            <w:pPr>
              <w:spacing w:after="0"/>
            </w:pPr>
            <w:r/>
            <w:r>
              <w:rPr>
                <w:rFonts w:ascii="Calibri" w:hAnsi="Calibri"/>
                <w:b w:val="0"/>
                <w:sz w:val="18"/>
              </w:rPr>
              <w:t>Only literature support exists but no data access.</w:t>
            </w:r>
          </w:p>
        </w:tc>
      </w:tr>
      <w:tr>
        <w:tc>
          <w:tcPr>
            <w:tcW w:type="dxa" w:w="2736"/>
            <w:vAlign w:val="center"/>
          </w:tcPr>
          <w:p>
            <w:pPr>
              <w:spacing w:after="0"/>
            </w:pPr>
            <w:r/>
            <w:r>
              <w:rPr>
                <w:rFonts w:ascii="Calibri" w:hAnsi="Calibri"/>
                <w:b w:val="0"/>
                <w:sz w:val="18"/>
              </w:rPr>
              <w:t>Using Clinical, Embryological and Lifestyle Data</w:t>
            </w:r>
          </w:p>
        </w:tc>
        <w:tc>
          <w:tcPr>
            <w:tcW w:type="dxa" w:w="3240"/>
            <w:vAlign w:val="center"/>
          </w:tcPr>
          <w:p>
            <w:pPr>
              <w:spacing w:after="0"/>
            </w:pPr>
            <w:r/>
            <w:r>
              <w:rPr>
                <w:rFonts w:ascii="Calibri" w:hAnsi="Calibri"/>
                <w:b w:val="0"/>
                <w:sz w:val="18"/>
              </w:rPr>
              <w:t>Lifestyle variables are collected reliably and ethically.</w:t>
            </w:r>
          </w:p>
        </w:tc>
        <w:tc>
          <w:tcPr>
            <w:tcW w:type="dxa" w:w="3096"/>
            <w:vAlign w:val="center"/>
          </w:tcPr>
          <w:p>
            <w:pPr>
              <w:spacing w:after="0"/>
            </w:pPr>
            <w:r/>
            <w:r>
              <w:rPr>
                <w:rFonts w:ascii="Calibri" w:hAnsi="Calibri"/>
                <w:b w:val="0"/>
                <w:sz w:val="18"/>
              </w:rPr>
              <w:t>Lifestyle data are absent or weak self-report.</w:t>
            </w:r>
          </w:p>
        </w:tc>
      </w:tr>
      <w:tr>
        <w:tc>
          <w:tcPr>
            <w:tcW w:type="dxa" w:w="2736"/>
            <w:vAlign w:val="center"/>
          </w:tcPr>
          <w:p>
            <w:pPr>
              <w:spacing w:after="0"/>
            </w:pPr>
            <w:r/>
            <w:r>
              <w:rPr>
                <w:rFonts w:ascii="Calibri" w:hAnsi="Calibri"/>
                <w:b w:val="0"/>
                <w:sz w:val="18"/>
              </w:rPr>
              <w:t>with External Validation</w:t>
            </w:r>
          </w:p>
        </w:tc>
        <w:tc>
          <w:tcPr>
            <w:tcW w:type="dxa" w:w="3240"/>
            <w:vAlign w:val="center"/>
          </w:tcPr>
          <w:p>
            <w:pPr>
              <w:spacing w:after="0"/>
            </w:pPr>
            <w:r/>
            <w:r>
              <w:rPr>
                <w:rFonts w:ascii="Calibri" w:hAnsi="Calibri"/>
                <w:b w:val="0"/>
                <w:sz w:val="18"/>
              </w:rPr>
              <w:t>Independent clinic/source/time-period data is available.</w:t>
            </w:r>
          </w:p>
        </w:tc>
        <w:tc>
          <w:tcPr>
            <w:tcW w:type="dxa" w:w="3096"/>
            <w:vAlign w:val="center"/>
          </w:tcPr>
          <w:p>
            <w:pPr>
              <w:spacing w:after="0"/>
            </w:pPr>
            <w:r/>
            <w:r>
              <w:rPr>
                <w:rFonts w:ascii="Calibri" w:hAnsi="Calibri"/>
                <w:b w:val="0"/>
                <w:sz w:val="18"/>
              </w:rPr>
              <w:t>Only one-center internal split is available.</w:t>
            </w:r>
          </w:p>
        </w:tc>
      </w:tr>
      <w:tr>
        <w:tc>
          <w:tcPr>
            <w:tcW w:type="dxa" w:w="2736"/>
            <w:vAlign w:val="center"/>
          </w:tcPr>
          <w:p>
            <w:pPr>
              <w:spacing w:after="0"/>
            </w:pPr>
            <w:r/>
            <w:r>
              <w:rPr>
                <w:rFonts w:ascii="Calibri" w:hAnsi="Calibri"/>
                <w:b w:val="0"/>
                <w:sz w:val="18"/>
              </w:rPr>
              <w:t>for Live-Birth Prediction</w:t>
            </w:r>
          </w:p>
        </w:tc>
        <w:tc>
          <w:tcPr>
            <w:tcW w:type="dxa" w:w="3240"/>
            <w:vAlign w:val="center"/>
          </w:tcPr>
          <w:p>
            <w:pPr>
              <w:spacing w:after="0"/>
            </w:pPr>
            <w:r/>
            <w:r>
              <w:rPr>
                <w:rFonts w:ascii="Calibri" w:hAnsi="Calibri"/>
                <w:b w:val="0"/>
                <w:sz w:val="18"/>
              </w:rPr>
              <w:t>Live-birth outcome is available with adequate follow-up.</w:t>
            </w:r>
          </w:p>
        </w:tc>
        <w:tc>
          <w:tcPr>
            <w:tcW w:type="dxa" w:w="3096"/>
            <w:vAlign w:val="center"/>
          </w:tcPr>
          <w:p>
            <w:pPr>
              <w:spacing w:after="0"/>
            </w:pPr>
            <w:r/>
            <w:r>
              <w:rPr>
                <w:rFonts w:ascii="Calibri" w:hAnsi="Calibri"/>
                <w:b w:val="0"/>
                <w:sz w:val="18"/>
              </w:rPr>
              <w:t>Only clinical pregnancy is available.</w:t>
            </w:r>
          </w:p>
        </w:tc>
      </w:tr>
      <w:tr>
        <w:tc>
          <w:tcPr>
            <w:tcW w:type="dxa" w:w="2736"/>
            <w:vAlign w:val="center"/>
          </w:tcPr>
          <w:p>
            <w:pPr>
              <w:spacing w:after="0"/>
            </w:pPr>
            <w:r/>
            <w:r>
              <w:rPr>
                <w:rFonts w:ascii="Calibri" w:hAnsi="Calibri"/>
                <w:b w:val="0"/>
                <w:sz w:val="18"/>
              </w:rPr>
              <w:t>Using Deep Learning</w:t>
            </w:r>
          </w:p>
        </w:tc>
        <w:tc>
          <w:tcPr>
            <w:tcW w:type="dxa" w:w="3240"/>
            <w:vAlign w:val="center"/>
          </w:tcPr>
          <w:p>
            <w:pPr>
              <w:spacing w:after="0"/>
            </w:pPr>
            <w:r/>
            <w:r>
              <w:rPr>
                <w:rFonts w:ascii="Calibri" w:hAnsi="Calibri"/>
                <w:b w:val="0"/>
                <w:sz w:val="18"/>
              </w:rPr>
              <w:t>Image, time-lapse or large-scale data justify deep learning.</w:t>
            </w:r>
          </w:p>
        </w:tc>
        <w:tc>
          <w:tcPr>
            <w:tcW w:type="dxa" w:w="3096"/>
            <w:vAlign w:val="center"/>
          </w:tcPr>
          <w:p>
            <w:pPr>
              <w:spacing w:after="0"/>
            </w:pPr>
            <w:r/>
            <w:r>
              <w:rPr>
                <w:rFonts w:ascii="Calibri" w:hAnsi="Calibri"/>
                <w:b w:val="0"/>
                <w:sz w:val="18"/>
              </w:rPr>
              <w:t>Only small structured tabular data are available.</w:t>
            </w:r>
          </w:p>
        </w:tc>
      </w:tr>
    </w:tbl>
    <w:p/>
    <w:p>
      <w:pPr>
        <w:pStyle w:val="Heading1"/>
      </w:pPr>
      <w:r>
        <w:t>Recommended Position To Tell Guide</w:t>
      </w:r>
    </w:p>
    <w:p>
      <w:r>
        <w:t>The recommended position is to present one strongest working title and keep dataset-sensitive title words conditional. The strongest direction is explainable and personalized clinical decision support for IVF outcome prediction. The exact outcome, data modality and validation wording should be finalized after clinic discussion.</w:t>
      </w:r>
    </w:p>
    <w:p>
      <w:pPr>
        <w:pStyle w:val="Heading1"/>
      </w:pPr>
      <w:r>
        <w:t>What We Need From Guide</w:t>
      </w:r>
    </w:p>
    <w:tbl>
      <w:tblPr>
        <w:tblStyle w:val="TableGrid"/>
        <w:tblW w:type="auto" w:w="0"/>
        <w:jc w:val="center"/>
        <w:tblLook w:firstColumn="1" w:firstRow="1" w:lastColumn="0" w:lastRow="0" w:noHBand="0" w:noVBand="1" w:val="04A0"/>
      </w:tblPr>
      <w:tblGrid>
        <w:gridCol w:w="4680"/>
        <w:gridCol w:w="4680"/>
      </w:tblGrid>
      <w:tr>
        <w:tc>
          <w:tcPr>
            <w:tcW w:type="dxa" w:w="3600"/>
            <w:shd w:fill="F2F4F7"/>
            <w:vAlign w:val="center"/>
          </w:tcPr>
          <w:p>
            <w:pPr>
              <w:spacing w:after="0"/>
            </w:pPr>
            <w:r/>
            <w:r>
              <w:rPr>
                <w:rFonts w:ascii="Calibri" w:hAnsi="Calibri"/>
                <w:b/>
                <w:sz w:val="18"/>
              </w:rPr>
              <w:t>Guide Decision</w:t>
            </w:r>
          </w:p>
        </w:tc>
        <w:tc>
          <w:tcPr>
            <w:tcW w:type="dxa" w:w="5472"/>
            <w:shd w:fill="F2F4F7"/>
            <w:vAlign w:val="center"/>
          </w:tcPr>
          <w:p>
            <w:pPr>
              <w:spacing w:after="0"/>
            </w:pPr>
            <w:r/>
            <w:r>
              <w:rPr>
                <w:rFonts w:ascii="Calibri" w:hAnsi="Calibri"/>
                <w:b/>
                <w:sz w:val="18"/>
              </w:rPr>
              <w:t>Why It Matters</w:t>
            </w:r>
          </w:p>
        </w:tc>
      </w:tr>
      <w:tr>
        <w:tc>
          <w:tcPr>
            <w:tcW w:type="dxa" w:w="3600"/>
            <w:vAlign w:val="center"/>
          </w:tcPr>
          <w:p>
            <w:pPr>
              <w:spacing w:after="0"/>
            </w:pPr>
            <w:r/>
            <w:r>
              <w:rPr>
                <w:rFonts w:ascii="Calibri" w:hAnsi="Calibri"/>
                <w:b w:val="0"/>
                <w:sz w:val="18"/>
              </w:rPr>
              <w:t>Should the topic focus on outcome prediction or ovarian stimulation decision support?</w:t>
            </w:r>
          </w:p>
        </w:tc>
        <w:tc>
          <w:tcPr>
            <w:tcW w:type="dxa" w:w="5472"/>
            <w:vAlign w:val="center"/>
          </w:tcPr>
          <w:p>
            <w:pPr>
              <w:spacing w:after="0"/>
            </w:pPr>
            <w:r/>
            <w:r>
              <w:rPr>
                <w:rFonts w:ascii="Calibri" w:hAnsi="Calibri"/>
                <w:b w:val="0"/>
                <w:sz w:val="18"/>
              </w:rPr>
              <w:t>This decides the required clinical variables and model target.</w:t>
            </w:r>
          </w:p>
        </w:tc>
      </w:tr>
      <w:tr>
        <w:tc>
          <w:tcPr>
            <w:tcW w:type="dxa" w:w="3600"/>
            <w:vAlign w:val="center"/>
          </w:tcPr>
          <w:p>
            <w:pPr>
              <w:spacing w:after="0"/>
            </w:pPr>
            <w:r/>
            <w:r>
              <w:rPr>
                <w:rFonts w:ascii="Calibri" w:hAnsi="Calibri"/>
                <w:b w:val="0"/>
                <w:sz w:val="18"/>
              </w:rPr>
              <w:t>Should the proposal title stay broad initially?</w:t>
            </w:r>
          </w:p>
        </w:tc>
        <w:tc>
          <w:tcPr>
            <w:tcW w:type="dxa" w:w="5472"/>
            <w:vAlign w:val="center"/>
          </w:tcPr>
          <w:p>
            <w:pPr>
              <w:spacing w:after="0"/>
            </w:pPr>
            <w:r/>
            <w:r>
              <w:rPr>
                <w:rFonts w:ascii="Calibri" w:hAnsi="Calibri"/>
                <w:b w:val="0"/>
                <w:sz w:val="18"/>
              </w:rPr>
              <w:t>This reduces risk before data access is confirmed.</w:t>
            </w:r>
          </w:p>
        </w:tc>
      </w:tr>
      <w:tr>
        <w:tc>
          <w:tcPr>
            <w:tcW w:type="dxa" w:w="3600"/>
            <w:vAlign w:val="center"/>
          </w:tcPr>
          <w:p>
            <w:pPr>
              <w:spacing w:after="0"/>
            </w:pPr>
            <w:r/>
            <w:r>
              <w:rPr>
                <w:rFonts w:ascii="Calibri" w:hAnsi="Calibri"/>
                <w:b w:val="0"/>
                <w:sz w:val="18"/>
              </w:rPr>
              <w:t>Should Indian validation be title wording or objective/future scope?</w:t>
            </w:r>
          </w:p>
        </w:tc>
        <w:tc>
          <w:tcPr>
            <w:tcW w:type="dxa" w:w="5472"/>
            <w:vAlign w:val="center"/>
          </w:tcPr>
          <w:p>
            <w:pPr>
              <w:spacing w:after="0"/>
            </w:pPr>
            <w:r/>
            <w:r>
              <w:rPr>
                <w:rFonts w:ascii="Calibri" w:hAnsi="Calibri"/>
                <w:b w:val="0"/>
                <w:sz w:val="18"/>
              </w:rPr>
              <w:t>This depends on likely Indian dataset access.</w:t>
            </w:r>
          </w:p>
        </w:tc>
      </w:tr>
      <w:tr>
        <w:tc>
          <w:tcPr>
            <w:tcW w:type="dxa" w:w="3600"/>
            <w:vAlign w:val="center"/>
          </w:tcPr>
          <w:p>
            <w:pPr>
              <w:spacing w:after="0"/>
            </w:pPr>
            <w:r/>
            <w:r>
              <w:rPr>
                <w:rFonts w:ascii="Calibri" w:hAnsi="Calibri"/>
                <w:b w:val="0"/>
                <w:sz w:val="18"/>
              </w:rPr>
              <w:t>Is CDSS/framework wording acceptable for the department?</w:t>
            </w:r>
          </w:p>
        </w:tc>
        <w:tc>
          <w:tcPr>
            <w:tcW w:type="dxa" w:w="5472"/>
            <w:vAlign w:val="center"/>
          </w:tcPr>
          <w:p>
            <w:pPr>
              <w:spacing w:after="0"/>
            </w:pPr>
            <w:r/>
            <w:r>
              <w:rPr>
                <w:rFonts w:ascii="Calibri" w:hAnsi="Calibri"/>
                <w:b w:val="0"/>
                <w:sz w:val="18"/>
              </w:rPr>
              <w:t>It positions the work beyond classifier comparison.</w:t>
            </w:r>
          </w:p>
        </w:tc>
      </w:tr>
      <w:tr>
        <w:tc>
          <w:tcPr>
            <w:tcW w:type="dxa" w:w="3600"/>
            <w:vAlign w:val="center"/>
          </w:tcPr>
          <w:p>
            <w:pPr>
              <w:spacing w:after="0"/>
            </w:pPr>
            <w:r/>
            <w:r>
              <w:rPr>
                <w:rFonts w:ascii="Calibri" w:hAnsi="Calibri"/>
                <w:b w:val="0"/>
                <w:sz w:val="18"/>
              </w:rPr>
              <w:t>Which words should be avoided in the first formal proposal?</w:t>
            </w:r>
          </w:p>
        </w:tc>
        <w:tc>
          <w:tcPr>
            <w:tcW w:type="dxa" w:w="5472"/>
            <w:vAlign w:val="center"/>
          </w:tcPr>
          <w:p>
            <w:pPr>
              <w:spacing w:after="0"/>
            </w:pPr>
            <w:r/>
            <w:r>
              <w:rPr>
                <w:rFonts w:ascii="Calibri" w:hAnsi="Calibri"/>
                <w:b w:val="0"/>
                <w:sz w:val="18"/>
              </w:rPr>
              <w:t>Prevents overclaiming before feasibility is known.</w:t>
            </w:r>
          </w:p>
        </w:tc>
      </w:tr>
    </w:tbl>
    <w:p/>
    <w:p>
      <w:pPr>
        <w:pStyle w:val="Heading1"/>
      </w:pPr>
      <w:r>
        <w:t>Guide Input Needed</w:t>
      </w:r>
    </w:p>
    <w:p>
      <w:pPr>
        <w:pStyle w:val="ListNumber"/>
      </w:pPr>
      <w:r>
        <w:t>Which candidate direction is academically strongest for the department?</w:t>
      </w:r>
    </w:p>
    <w:p>
      <w:pPr>
        <w:pStyle w:val="ListNumber"/>
      </w:pPr>
      <w:r>
        <w:t>Which direction is practical given likely clinic access?</w:t>
      </w:r>
    </w:p>
    <w:p>
      <w:pPr>
        <w:pStyle w:val="ListNumber"/>
      </w:pPr>
      <w:r>
        <w:t>Should the first proposal emphasize IVF outcome prediction, stimulation decision support or broader CDSS?</w:t>
      </w:r>
    </w:p>
    <w:p>
      <w:pPr>
        <w:pStyle w:val="ListNumber"/>
      </w:pPr>
      <w:r>
        <w:t>Which title words should be avoided until data access is 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