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A5" w:rsidRDefault="00F50E9B">
      <w:r>
        <w:rPr>
          <w:rFonts w:ascii="Arial" w:hAnsi="Arial" w:cs="Arial"/>
          <w:sz w:val="27"/>
          <w:szCs w:val="27"/>
          <w:shd w:val="clear" w:color="auto" w:fill="FFFFFF"/>
        </w:rPr>
        <w:t>SUBMISSION: 6092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TITLE: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Causes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Polarization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Advancing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Hegselmann-Krause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focusing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on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groups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----------------------- REVIEW 1 ---------------------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SUBMISSION: 6092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TITLE: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Causes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Polarization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Advancing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Hegselmann-Krause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focusing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on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groups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AUTHORS: František Kalvas,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Ashwin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Ramaswamy,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Ashley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Sanders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-Jackson and Michael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Slater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-----------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Overall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evaluation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-----------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SCORE: 2 (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accept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----- TEXT: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Accept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as a poster.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short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abstract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submission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only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but has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substantial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input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form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extended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OD model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its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results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Including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identity in OD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models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evaluating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results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whether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polarization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occurs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interesting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I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curious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details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poster.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----------------------- REVIEW 2 ---------------------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SUBMISSION: 6092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TITLE: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Causes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Polarization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Advancing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Hegselmann-Krause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focusing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on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groups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AUTHORS: František Kalvas,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Ashwin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Ramaswamy,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Ashley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Sanders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-Jackson and Michael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Slater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-----------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Overall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evaluation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-----------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SCORE: 0 (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borderline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paper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----- TEXT: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seems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interesting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project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which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provides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extension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Hegselmann-Krause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bounded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confidence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taking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opinion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dimensions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into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account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linking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community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structure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via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Louvain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algorithm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Some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aspects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would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require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clarification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particular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what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concerns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conceptualization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social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identity.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authors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seem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stem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from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assumption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shared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would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relate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similar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opinions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considering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opinion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distance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represents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edges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network.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so,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what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would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effect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SDIRO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aspect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particular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opinions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 xml:space="preserve">are very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distant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there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 risk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impose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identity as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external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categorization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artifact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community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detection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algorithm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How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conceptualized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included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opinion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dynamics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could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added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value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work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presented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----------------------- REVIEW 3 ---------------------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SUBMISSION: 6092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TITLE: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Causes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Polarization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Advancing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Hegselmann-Krause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focusing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on identity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groups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AUTHORS: František Kalvas,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Ashwin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Ramaswamy,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Ashley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Sanders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-Jackson and Michael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Slater</w:t>
      </w:r>
      <w:proofErr w:type="spellEnd"/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-----------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Overall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evaluation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-----------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SCORE: 2 (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accept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----- TEXT: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interesting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extension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Hegselmann-Krause (HK) model.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only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short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abstract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could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understand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all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details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But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mostly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description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surprisingly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precise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given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very limited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extensions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straightforward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clearly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comprehensible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with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one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Due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lack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did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understand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Louvain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algorithm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been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used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implementing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identity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been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used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again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detecting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groups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seem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circular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 more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conceptual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question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however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following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 As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already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varying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boundaries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HK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generate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polarization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what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added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value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extension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i.e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what</w:t>
      </w:r>
      <w:proofErr w:type="spellEnd"/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additional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phenomena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generated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with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that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out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scope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HK model?</w:t>
      </w:r>
      <w:bookmarkStart w:id="0" w:name="_GoBack"/>
      <w:bookmarkEnd w:id="0"/>
    </w:p>
    <w:sectPr w:rsidR="006A2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9B"/>
    <w:rsid w:val="006A26A5"/>
    <w:rsid w:val="00F5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65170-6224-4B63-9C75-88185EC0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1</cp:revision>
  <dcterms:created xsi:type="dcterms:W3CDTF">2022-07-29T06:31:00Z</dcterms:created>
  <dcterms:modified xsi:type="dcterms:W3CDTF">2022-07-29T06:31:00Z</dcterms:modified>
</cp:coreProperties>
</file>