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2" w:name="content"/>
    <w:bookmarkStart w:id="51" w:name="Xbfcc0aac371a01d87d3a3833cef7158afb6dbc6"/>
    <w:p>
      <w:pPr>
        <w:pStyle w:val="Heading1"/>
      </w:pPr>
      <w:r>
        <w:t xml:space="preserve">Passenger Vehicle Saturation Estimates for the 21 APEC Economies</w:t>
      </w:r>
    </w:p>
    <w:bookmarkStart w:id="23" w:name="scope-and-recommended-use"/>
    <w:p>
      <w:pPr>
        <w:pStyle w:val="Heading2"/>
      </w:pPr>
      <w:r>
        <w:t xml:space="preserve">Scope and recommended use</w:t>
      </w:r>
    </w:p>
    <w:p>
      <w:pPr>
        <w:pStyle w:val="FirstParagraph"/>
      </w:pPr>
      <w:r>
        <w:t xml:space="preserve">This report estimates</w:t>
      </w:r>
      <w:r>
        <w:t xml:space="preserve"> </w:t>
      </w:r>
      <w:r>
        <w:rPr>
          <w:b/>
          <w:bCs/>
        </w:rPr>
        <w:t xml:space="preserve">Passenger Vehicle Saturation</w:t>
      </w:r>
      <w:r>
        <w:t xml:space="preserve"> </w:t>
      </w:r>
      <w:r>
        <w:t xml:space="preserve">for each APEC economy as the</w:t>
      </w:r>
      <w:r>
        <w:t xml:space="preserve"> </w:t>
      </w:r>
      <w:r>
        <w:rPr>
          <w:b/>
          <w:bCs/>
        </w:rPr>
        <w:t xml:space="preserve">long-run structural ceiling of passenger light-duty vehicle ownership per 1,000 people</w:t>
      </w:r>
      <w:r>
        <w:t xml:space="preserve"> </w:t>
      </w:r>
      <w:r>
        <w:t xml:space="preserve">to be used as the asymptote in a Gompertz or logistic vehicle-ownership function in LEAP. I have treated the target variable as</w:t>
      </w:r>
      <w:r>
        <w:t xml:space="preserve"> </w:t>
      </w:r>
      <w:r>
        <w:rPr>
          <w:b/>
          <w:bCs/>
        </w:rPr>
        <w:t xml:space="preserve">passenger-oriented LDVs in use</w:t>
      </w:r>
      <w:r>
        <w:t xml:space="preserve">, not all road vehicles: motorcycles, buses, and freight trucks are structurally excluded, consistent with the World Bank’s passenger-car definition and the Asian Transport Observatory’s separate LDV reporting.[19][11]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A key implication is that these values are</w:t>
      </w:r>
      <w:r>
        <w:t xml:space="preserve"> </w:t>
      </w:r>
      <w:r>
        <w:rPr>
          <w:b/>
          <w:bCs/>
        </w:rPr>
        <w:t xml:space="preserve">not current ownership rates</w:t>
      </w:r>
      <w:r>
        <w:t xml:space="preserve"> </w:t>
      </w:r>
      <w:r>
        <w:t xml:space="preserve">and they are</w:t>
      </w:r>
      <w:r>
        <w:t xml:space="preserve"> </w:t>
      </w:r>
      <w:r>
        <w:rPr>
          <w:b/>
          <w:bCs/>
        </w:rPr>
        <w:t xml:space="preserve">not 2050 stock forecasts</w:t>
      </w:r>
      <w:r>
        <w:t xml:space="preserve">. They are structural ceilings that economies may approach at different speeds depending on income growth, demography, modal competition, road supply, land scarcity, vehicle policy, and the persistence of two- and three-wheeler use. The resulting range is deliberately wide for low-data economies and narrower where there is country-specific motorisation literature or official long-run LDV/car projections.[1][13][14]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One practical note: I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assign grade A to any economy. In this topic, the “true” saturation ceiling is almost never directly measured in administrative data; it is inferred from models, proxies, or policy-constrained structural reasoning. The strongest estimates here are therefore grade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</w:p>
    <w:bookmarkEnd w:id="23"/>
    <w:bookmarkStart w:id="27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The estimation hierarchy had four steps. First, I used the classic cross-country motorisation literature as the main asymptotic anchor: Dargay and co-authors model vehicle ownership with a Gompertz relationship and allow the saturation ceiling to vary with density; in their density-adjusted formulation, projected 2025 saturation ranges from</w:t>
      </w:r>
      <w:r>
        <w:t xml:space="preserve"> </w:t>
      </w:r>
      <w:r>
        <w:rPr>
          <w:b/>
          <w:bCs/>
        </w:rPr>
        <w:t xml:space="preserve">0.42 vehicles per person in Korea to 0.91 in Australia</w:t>
      </w:r>
      <w:r>
        <w:t xml:space="preserve">, and the mean is about</w:t>
      </w:r>
      <w:r>
        <w:t xml:space="preserve"> </w:t>
      </w:r>
      <w:r>
        <w:rPr>
          <w:b/>
          <w:bCs/>
        </w:rPr>
        <w:t xml:space="preserve">0.8 vehicles per person</w:t>
      </w:r>
      <w:r>
        <w:t xml:space="preserve">.[1] The IMF’s synthesis of the same literature provides a generic long-run upper benchmark of</w:t>
      </w:r>
      <w:r>
        <w:t xml:space="preserve"> </w:t>
      </w:r>
      <w:r>
        <w:rPr>
          <w:b/>
          <w:bCs/>
        </w:rPr>
        <w:t xml:space="preserve">about 850 vehicles per 1,000 people</w:t>
      </w:r>
      <w:r>
        <w:t xml:space="preserve">, with the fastest income-driven ownership growth occurring at roughly</w:t>
      </w:r>
      <w:r>
        <w:t xml:space="preserve"> </w:t>
      </w:r>
      <w:r>
        <w:rPr>
          <w:b/>
          <w:bCs/>
        </w:rPr>
        <w:t xml:space="preserve">PPP GDP per capita of US$2,500–10,000</w:t>
      </w:r>
      <w:r>
        <w:t xml:space="preserve">.[2] For mature dense Asian markets, I also used the ITF observation that Europe had reached around</w:t>
      </w:r>
      <w:r>
        <w:t xml:space="preserve"> </w:t>
      </w:r>
      <w:r>
        <w:rPr>
          <w:b/>
          <w:bCs/>
        </w:rPr>
        <w:t xml:space="preserve">600 vehicles per 1,000 inhabitants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Japan’s response was weaker at around 400</w:t>
      </w:r>
      <w:r>
        <w:t xml:space="preserve">, which is a useful warning against blindly importing North American asymptotes into high-density Asian contexts.[3]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Secondly, wherever those literature anchors refer to</w:t>
      </w:r>
      <w:r>
        <w:t xml:space="preserve"> </w:t>
      </w:r>
      <w:r>
        <w:rPr>
          <w:b/>
          <w:bCs/>
        </w:rPr>
        <w:t xml:space="preserve">total vehicles</w:t>
      </w:r>
      <w:r>
        <w:t xml:space="preserve"> </w:t>
      </w:r>
      <w:r>
        <w:t xml:space="preserve">rather than passenger LDVs, I translated them to a passenger-LDV ceiling using contemporary fleet structure. For Asia, the ATO’s country profiles are especially useful because they split 2022 motorisation into</w:t>
      </w:r>
      <w:r>
        <w:t xml:space="preserve"> </w:t>
      </w:r>
      <w:r>
        <w:rPr>
          <w:b/>
          <w:bCs/>
        </w:rPr>
        <w:t xml:space="preserve">2&amp;3-wheelers, LDVs, freight vehicles and buses</w:t>
      </w:r>
      <w:r>
        <w:t xml:space="preserve">. Those profiles show, for example, LDV rates of</w:t>
      </w:r>
      <w:r>
        <w:t xml:space="preserve"> </w:t>
      </w:r>
      <w:r>
        <w:rPr>
          <w:b/>
          <w:bCs/>
        </w:rPr>
        <w:t xml:space="preserve">644</w:t>
      </w:r>
      <w:r>
        <w:t xml:space="preserve"> </w:t>
      </w:r>
      <w:r>
        <w:t xml:space="preserve">in Brunei,</w:t>
      </w:r>
      <w:r>
        <w:t xml:space="preserve"> </w:t>
      </w:r>
      <w:r>
        <w:rPr>
          <w:b/>
          <w:bCs/>
        </w:rPr>
        <w:t xml:space="preserve">493</w:t>
      </w:r>
      <w:r>
        <w:t xml:space="preserve"> </w:t>
      </w:r>
      <w:r>
        <w:t xml:space="preserve">in Malaysia,</w:t>
      </w:r>
      <w:r>
        <w:t xml:space="preserve"> </w:t>
      </w:r>
      <w:r>
        <w:rPr>
          <w:b/>
          <w:bCs/>
        </w:rPr>
        <w:t xml:space="preserve">265</w:t>
      </w:r>
      <w:r>
        <w:t xml:space="preserve"> </w:t>
      </w:r>
      <w:r>
        <w:t xml:space="preserve">in Thailand,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in Singapore,</w:t>
      </w:r>
      <w:r>
        <w:t xml:space="preserve"> </w:t>
      </w:r>
      <w:r>
        <w:rPr>
          <w:b/>
          <w:bCs/>
        </w:rPr>
        <w:t xml:space="preserve">62</w:t>
      </w:r>
      <w:r>
        <w:t xml:space="preserve"> </w:t>
      </w:r>
      <w:r>
        <w:t xml:space="preserve">in Indonesia,</w:t>
      </w:r>
      <w:r>
        <w:t xml:space="preserve"> </w:t>
      </w:r>
      <w:r>
        <w:rPr>
          <w:b/>
          <w:bCs/>
        </w:rPr>
        <w:t xml:space="preserve">34</w:t>
      </w:r>
      <w:r>
        <w:t xml:space="preserve"> </w:t>
      </w:r>
      <w:r>
        <w:t xml:space="preserve">in Viet Nam, and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in the Philippines, immediately demonstrating how much total-vehicle saturation must be scaled down in two-wheeler-heavy and city-constrained systems.[9][10][11]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Thirdly, for economies where country-specific or official longer-run car/LDV trajectories exist, I used them to override or heavily constrain the global-density literature. For the Philippines, the World Bank transport background paper reports a 2050 total motorisation rate of</w:t>
      </w:r>
      <w:r>
        <w:t xml:space="preserve"> </w:t>
      </w:r>
      <w:r>
        <w:rPr>
          <w:b/>
          <w:bCs/>
        </w:rPr>
        <w:t xml:space="preserve">672.9 vehicles per 1,000 people</w:t>
      </w:r>
      <w:r>
        <w:t xml:space="preserve"> </w:t>
      </w:r>
      <w:r>
        <w:t xml:space="preserve">but only</w:t>
      </w:r>
      <w:r>
        <w:t xml:space="preserve"> </w:t>
      </w:r>
      <w:r>
        <w:rPr>
          <w:b/>
          <w:bCs/>
        </w:rPr>
        <w:t xml:space="preserve">173 LDVs per 1,000</w:t>
      </w:r>
      <w:r>
        <w:t xml:space="preserve">, because motorcycles and tricycles remain dominant.[13] For Viet Nam, a World Bank e-mobility roadmap reports</w:t>
      </w:r>
      <w:r>
        <w:t xml:space="preserve"> </w:t>
      </w:r>
      <w:r>
        <w:rPr>
          <w:b/>
          <w:bCs/>
        </w:rPr>
        <w:t xml:space="preserve">22 active passenger cars per 1,000</w:t>
      </w:r>
      <w:r>
        <w:t xml:space="preserve"> </w:t>
      </w:r>
      <w:r>
        <w:t xml:space="preserve">in 2022, rising to</w:t>
      </w:r>
      <w:r>
        <w:t xml:space="preserve"> </w:t>
      </w:r>
      <w:r>
        <w:rPr>
          <w:b/>
          <w:bCs/>
        </w:rPr>
        <w:t xml:space="preserve">312 active passenger cars per 1,000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66.3 million registered passenger cars</w:t>
      </w:r>
      <w:r>
        <w:t xml:space="preserve"> </w:t>
      </w:r>
      <w:r>
        <w:t xml:space="preserve">by 2050, implying fast car growth but continued structural moderation relative to richer car-dependent systems.[14] For China, I used the China-specific Gompertz literature, the World Bank’s warning that China still had</w:t>
      </w:r>
      <w:r>
        <w:t xml:space="preserve"> </w:t>
      </w:r>
      <w:r>
        <w:rPr>
          <w:b/>
          <w:bCs/>
        </w:rPr>
        <w:t xml:space="preserve">fewer than 200 vehicles per 1,000 people</w:t>
      </w:r>
      <w:r>
        <w:t xml:space="preserve"> </w:t>
      </w:r>
      <w:r>
        <w:t xml:space="preserve">in 2021, and current official/private-vehicle data to keep the ceiling well below a literal transplant of North American levels.[15]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Finally, I imposed structural adjustments for permanent constraints that income-only curves miss:</w:t>
      </w:r>
      <w:r>
        <w:t xml:space="preserve"> </w:t>
      </w:r>
      <w:r>
        <w:rPr>
          <w:b/>
          <w:bCs/>
        </w:rPr>
        <w:t xml:space="preserve">land scarcity and explicit vehicle caps</w:t>
      </w:r>
      <w:r>
        <w:t xml:space="preserve"> </w:t>
      </w:r>
      <w:r>
        <w:t xml:space="preserve">in Singapore;</w:t>
      </w:r>
      <w:r>
        <w:t xml:space="preserve"> </w:t>
      </w:r>
      <w:r>
        <w:rPr>
          <w:b/>
          <w:bCs/>
        </w:rPr>
        <w:t xml:space="preserve">extreme density and public-transport dominance</w:t>
      </w:r>
      <w:r>
        <w:t xml:space="preserve"> </w:t>
      </w:r>
      <w:r>
        <w:t xml:space="preserve">in Hong Kong;</w:t>
      </w:r>
      <w:r>
        <w:t xml:space="preserve"> </w:t>
      </w:r>
      <w:r>
        <w:rPr>
          <w:b/>
          <w:bCs/>
        </w:rPr>
        <w:t xml:space="preserve">archipelagic geography and durable two-wheeler dependence</w:t>
      </w:r>
      <w:r>
        <w:t xml:space="preserve"> </w:t>
      </w:r>
      <w:r>
        <w:t xml:space="preserve">in Indonesia, the Philippines, and Viet Nam;</w:t>
      </w:r>
      <w:r>
        <w:t xml:space="preserve"> </w:t>
      </w:r>
      <w:r>
        <w:rPr>
          <w:b/>
          <w:bCs/>
        </w:rPr>
        <w:t xml:space="preserve">weak road-network coverage and low incomes</w:t>
      </w:r>
      <w:r>
        <w:t xml:space="preserve"> </w:t>
      </w:r>
      <w:r>
        <w:t xml:space="preserve">in Papua New Guinea; and</w:t>
      </w:r>
      <w:r>
        <w:t xml:space="preserve"> </w:t>
      </w:r>
      <w:r>
        <w:rPr>
          <w:b/>
          <w:bCs/>
        </w:rPr>
        <w:t xml:space="preserve">large-territory, low-density, automobile-centred travel demand</w:t>
      </w:r>
      <w:r>
        <w:t xml:space="preserve"> </w:t>
      </w:r>
      <w:r>
        <w:t xml:space="preserve">in Australia, Canada, New Zealand, and the United States.[6][7][8][9][10][11][18] Lower and upper bounds are judgement bands rather than formal confidence intervals: they represent plausible alternative structural ceilings under, respectively, stronger modal/policy containment and weaker modal/policy containment.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bookmarkEnd w:id="27"/>
    <w:bookmarkStart w:id="41" w:name="economy-narratives"/>
    <w:p>
      <w:pPr>
        <w:pStyle w:val="Heading2"/>
      </w:pPr>
      <w:r>
        <w:t xml:space="preserve">Economy narratives</w:t>
      </w:r>
    </w:p>
    <w:p>
      <w:pPr>
        <w:pStyle w:val="FirstParagraph"/>
      </w:pPr>
      <w:r>
        <w:rPr>
          <w:b/>
          <w:bCs/>
        </w:rPr>
        <w:t xml:space="preserve">Australia.</w:t>
      </w:r>
      <w:r>
        <w:t xml:space="preserve"> </w:t>
      </w:r>
      <w:r>
        <w:t xml:space="preserve">Australia belongs near the top of the density-adjusted Dargay distribution, which places Australia near</w:t>
      </w:r>
      <w:r>
        <w:t xml:space="preserve"> </w:t>
      </w:r>
      <w:r>
        <w:rPr>
          <w:b/>
          <w:bCs/>
        </w:rPr>
        <w:t xml:space="preserve">0.91 vehicles per person</w:t>
      </w:r>
      <w:r>
        <w:t xml:space="preserve"> </w:t>
      </w:r>
      <w:r>
        <w:t xml:space="preserve">on a total-vehicle basis, and BITRE still reports</w:t>
      </w:r>
      <w:r>
        <w:t xml:space="preserve"> </w:t>
      </w:r>
      <w:r>
        <w:rPr>
          <w:b/>
          <w:bCs/>
        </w:rPr>
        <w:t xml:space="preserve">582.2 registered passenger vehicles per 1,000 people</w:t>
      </w:r>
      <w:r>
        <w:t xml:space="preserve"> </w:t>
      </w:r>
      <w:r>
        <w:t xml:space="preserve">in January 2024 before adding other household-use light vehicles. I therefore set passenger-LDV saturation at</w:t>
      </w:r>
      <w:r>
        <w:t xml:space="preserve"> </w:t>
      </w:r>
      <w:r>
        <w:rPr>
          <w:b/>
          <w:bCs/>
        </w:rPr>
        <w:t xml:space="preserve">860</w:t>
      </w:r>
      <w:r>
        <w:t xml:space="preserve">, slightly below the literal total-vehicle asymptote but still consistent with a sparse, affluent, strongly car-oriented travel system.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Brunei Darussalam.</w:t>
      </w:r>
      <w:r>
        <w:t xml:space="preserve"> </w:t>
      </w:r>
      <w:r>
        <w:t xml:space="preserve">Brunei already has one of the highest LDV ownership levels in Asia: the ATO reports</w:t>
      </w:r>
      <w:r>
        <w:t xml:space="preserve"> </w:t>
      </w:r>
      <w:r>
        <w:rPr>
          <w:b/>
          <w:bCs/>
        </w:rPr>
        <w:t xml:space="preserve">644 LDVs per 1,000 people</w:t>
      </w:r>
      <w:r>
        <w:t xml:space="preserve"> </w:t>
      </w:r>
      <w:r>
        <w:t xml:space="preserve">in 2022, and Brunei’s transport profile is explicitly car-oriented, with weak public-transport depth and oil-fuelled affordability. That justifies a high ceiling of</w:t>
      </w:r>
      <w:r>
        <w:t xml:space="preserve"> </w:t>
      </w:r>
      <w:r>
        <w:rPr>
          <w:b/>
          <w:bCs/>
        </w:rPr>
        <w:t xml:space="preserve">780</w:t>
      </w:r>
      <w:r>
        <w:t xml:space="preserve">, but not a US-style 900, because the economy is small and future policy could still try to moderate dependence.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Canada.</w:t>
      </w:r>
      <w:r>
        <w:t xml:space="preserve"> </w:t>
      </w:r>
      <w:r>
        <w:t xml:space="preserve">Canada’s 2024 vehicle registry shows</w:t>
      </w:r>
      <w:r>
        <w:t xml:space="preserve"> </w:t>
      </w:r>
      <w:r>
        <w:rPr>
          <w:b/>
          <w:bCs/>
        </w:rPr>
        <w:t xml:space="preserve">26.8 million road motor vehicles</w:t>
      </w:r>
      <w:r>
        <w:t xml:space="preserve">, of which</w:t>
      </w:r>
      <w:r>
        <w:t xml:space="preserve"> </w:t>
      </w:r>
      <w:r>
        <w:rPr>
          <w:b/>
          <w:bCs/>
        </w:rPr>
        <w:t xml:space="preserve">91.6% are light-duty vehicles</w:t>
      </w:r>
      <w:r>
        <w:t xml:space="preserve">, confirming a fleet already dominated by passenger-oriented road transport. Combined with North American settlement patterns and the generic IMF/Dargay saturation benchmark, that supports a passenger-LDV ceiling of</w:t>
      </w:r>
      <w:r>
        <w:t xml:space="preserve"> </w:t>
      </w:r>
      <w:r>
        <w:rPr>
          <w:b/>
          <w:bCs/>
        </w:rPr>
        <w:t xml:space="preserve">840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Chile.</w:t>
      </w:r>
      <w:r>
        <w:t xml:space="preserve"> </w:t>
      </w:r>
      <w:r>
        <w:t xml:space="preserve">Chile is one of the emerging economies visibly present in the IMF/Dargay motorisation literature, but it combines comparatively high income with a very urbanised settlement pattern and stronger public-transport relevance than the North American cases. I therefore place Chile’s long-run passenger-LDV ceiling at</w:t>
      </w:r>
      <w:r>
        <w:t xml:space="preserve"> </w:t>
      </w:r>
      <w:r>
        <w:rPr>
          <w:b/>
          <w:bCs/>
        </w:rPr>
        <w:t xml:space="preserve">560</w:t>
      </w:r>
      <w:r>
        <w:t xml:space="preserve">: materially above current ownership, but distinctly below the large, low-density OECD economies.</w:t>
      </w:r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China.</w:t>
      </w:r>
      <w:r>
        <w:t xml:space="preserve"> </w:t>
      </w:r>
      <w:r>
        <w:t xml:space="preserve">China’s motorisation headroom remains enormous: the World Bank noted fewer than</w:t>
      </w:r>
      <w:r>
        <w:t xml:space="preserve"> </w:t>
      </w:r>
      <w:r>
        <w:rPr>
          <w:b/>
          <w:bCs/>
        </w:rPr>
        <w:t xml:space="preserve">200 vehicles per 1,000 people</w:t>
      </w:r>
      <w:r>
        <w:t xml:space="preserve"> </w:t>
      </w:r>
      <w:r>
        <w:t xml:space="preserve">in 2021, while CEIC reports</w:t>
      </w:r>
      <w:r>
        <w:t xml:space="preserve"> </w:t>
      </w:r>
      <w:r>
        <w:rPr>
          <w:b/>
          <w:bCs/>
        </w:rPr>
        <w:t xml:space="preserve">323.36 million private vehicles</w:t>
      </w:r>
      <w:r>
        <w:t xml:space="preserve"> </w:t>
      </w:r>
      <w:r>
        <w:t xml:space="preserve">in 2025, and China-specific Gompertz work projects continued rapid growth through 2050. However, China’s very high urban concentration, large-city plate restrictions, and stronger public-transport substitution than in Western car economies argue for a passenger-LDV ceiling of</w:t>
      </w:r>
      <w:r>
        <w:t xml:space="preserve"> </w:t>
      </w:r>
      <w:r>
        <w:rPr>
          <w:b/>
          <w:bCs/>
        </w:rPr>
        <w:t xml:space="preserve">550</w:t>
      </w:r>
      <w:r>
        <w:t xml:space="preserve">, not a simple transplant of the generic 850/1,000 rich-country benchmark.</w:t>
      </w:r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Hong Kong, China.</w:t>
      </w:r>
      <w:r>
        <w:t xml:space="preserve"> </w:t>
      </w:r>
      <w:r>
        <w:t xml:space="preserve">Hong Kong is the clearest case where income-only motorisation curves fail. The Transport Department reports</w:t>
      </w:r>
      <w:r>
        <w:t xml:space="preserve"> </w:t>
      </w:r>
      <w:r>
        <w:rPr>
          <w:b/>
          <w:bCs/>
        </w:rPr>
        <w:t xml:space="preserve">578,001 licensed private cars</w:t>
      </w:r>
      <w:r>
        <w:t xml:space="preserve"> </w:t>
      </w:r>
      <w:r>
        <w:t xml:space="preserve">at end-2024, while the Hong Kong low-car-dependence literature shows that ownership was only</w:t>
      </w:r>
      <w:r>
        <w:t xml:space="preserve"> </w:t>
      </w:r>
      <w:r>
        <w:rPr>
          <w:b/>
          <w:bCs/>
        </w:rPr>
        <w:t xml:space="preserve">48 cars per 1,000 people</w:t>
      </w:r>
      <w:r>
        <w:t xml:space="preserve"> </w:t>
      </w:r>
      <w:r>
        <w:t xml:space="preserve">as early as 2000 despite income levels comparable with rich Western countries, because density, public transport, road scarcity, and policy all suppress demand. I therefore set the ceiling at just</w:t>
      </w:r>
      <w:r>
        <w:t xml:space="preserve"> </w:t>
      </w:r>
      <w:r>
        <w:rPr>
          <w:b/>
          <w:bCs/>
        </w:rPr>
        <w:t xml:space="preserve">110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Indonesia.</w:t>
      </w:r>
      <w:r>
        <w:t xml:space="preserve"> </w:t>
      </w:r>
      <w:r>
        <w:t xml:space="preserve">Indonesia’s 2022 transport structure remains overwhelmingly two-wheeler-led: the ATO reports</w:t>
      </w:r>
      <w:r>
        <w:t xml:space="preserve"> </w:t>
      </w:r>
      <w:r>
        <w:rPr>
          <w:b/>
          <w:bCs/>
        </w:rPr>
        <w:t xml:space="preserve">456 2&amp;3-wheelers per 1,000 people</w:t>
      </w:r>
      <w:r>
        <w:t xml:space="preserve"> </w:t>
      </w:r>
      <w:r>
        <w:t xml:space="preserve">but only</w:t>
      </w:r>
      <w:r>
        <w:t xml:space="preserve"> </w:t>
      </w:r>
      <w:r>
        <w:rPr>
          <w:b/>
          <w:bCs/>
        </w:rPr>
        <w:t xml:space="preserve">62 LDVs per 1,000</w:t>
      </w:r>
      <w:r>
        <w:t xml:space="preserve">, and the ATO e-mobility profile projects 2050 motorisation of</w:t>
      </w:r>
      <w:r>
        <w:t xml:space="preserve"> </w:t>
      </w:r>
      <w:r>
        <w:rPr>
          <w:b/>
          <w:bCs/>
        </w:rPr>
        <w:t xml:space="preserve">885.94 vehicles per 1,000 people</w:t>
      </w:r>
      <w:r>
        <w:t xml:space="preserve"> </w:t>
      </w:r>
      <w:r>
        <w:t xml:space="preserve">mostly because of two-wheelers, with only</w:t>
      </w:r>
      <w:r>
        <w:t xml:space="preserve"> </w:t>
      </w:r>
      <w:r>
        <w:rPr>
          <w:b/>
          <w:bCs/>
        </w:rPr>
        <w:t xml:space="preserve">24.73 million additional LDVs</w:t>
      </w:r>
      <w:r>
        <w:t xml:space="preserve"> </w:t>
      </w:r>
      <w:r>
        <w:t xml:space="preserve">by 2050. That combination points to a much lower passenger-LDV ceiling than old global-density Gompertz results would imply, so I recommend</w:t>
      </w:r>
      <w:r>
        <w:t xml:space="preserve"> </w:t>
      </w:r>
      <w:r>
        <w:rPr>
          <w:b/>
          <w:bCs/>
        </w:rPr>
        <w:t xml:space="preserve">230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Japan.</w:t>
      </w:r>
      <w:r>
        <w:t xml:space="preserve"> </w:t>
      </w:r>
      <w:r>
        <w:t xml:space="preserve">Japan is mature, affluent, and already heavily motorised, but it has long shown a structurally lower car response than North America or even much of Europe; the ITF notes Japan’s weaker response around</w:t>
      </w:r>
      <w:r>
        <w:t xml:space="preserve"> </w:t>
      </w:r>
      <w:r>
        <w:rPr>
          <w:b/>
          <w:bCs/>
        </w:rPr>
        <w:t xml:space="preserve">400 vehicles per 1,000</w:t>
      </w:r>
      <w:r>
        <w:t xml:space="preserve">, and the JARI BAU model projects only</w:t>
      </w:r>
      <w:r>
        <w:t xml:space="preserve"> </w:t>
      </w:r>
      <w:r>
        <w:rPr>
          <w:b/>
          <w:bCs/>
        </w:rPr>
        <w:t xml:space="preserve">61.59 million passenger vehicles</w:t>
      </w:r>
      <w:r>
        <w:t xml:space="preserve"> </w:t>
      </w:r>
      <w:r>
        <w:t xml:space="preserve">by 2030. Ageing, depopulation, urban rail quality, and tight parking/land conditions keep the long-run ceiling to</w:t>
      </w:r>
      <w:r>
        <w:t xml:space="preserve"> </w:t>
      </w:r>
      <w:r>
        <w:rPr>
          <w:b/>
          <w:bCs/>
        </w:rPr>
        <w:t xml:space="preserve">600</w:t>
      </w:r>
      <w:r>
        <w:t xml:space="preserve">, well below the large Anglo economies.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Republic of Korea.</w:t>
      </w:r>
      <w:r>
        <w:t xml:space="preserve"> </w:t>
      </w:r>
      <w:r>
        <w:t xml:space="preserve">Korea is the economy for which the old Dargay density-adjusted estimate is especially conservative, with the 2001 model placing its total-vehicle saturation at only</w:t>
      </w:r>
      <w:r>
        <w:t xml:space="preserve"> </w:t>
      </w:r>
      <w:r>
        <w:rPr>
          <w:b/>
          <w:bCs/>
        </w:rPr>
        <w:t xml:space="preserve">0.42 per person</w:t>
      </w:r>
      <w:r>
        <w:t xml:space="preserve">. I treat that not as a literal final value but as evidence of strong structural moderation from density and urbanisation; allowing for subsequent suburbanisation and rising incomes, I set the passenger-LDV ceiling at</w:t>
      </w:r>
      <w:r>
        <w:t xml:space="preserve"> </w:t>
      </w:r>
      <w:r>
        <w:rPr>
          <w:b/>
          <w:bCs/>
        </w:rPr>
        <w:t xml:space="preserve">560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Malaysia.</w:t>
      </w:r>
      <w:r>
        <w:t xml:space="preserve"> </w:t>
      </w:r>
      <w:r>
        <w:t xml:space="preserve">Malaysia is already the most car-intensive ASEAN market in per-capita terms: the ATO reports</w:t>
      </w:r>
      <w:r>
        <w:t xml:space="preserve"> </w:t>
      </w:r>
      <w:r>
        <w:rPr>
          <w:b/>
          <w:bCs/>
        </w:rPr>
        <w:t xml:space="preserve">493 LDVs per 1,000 people</w:t>
      </w:r>
      <w:r>
        <w:t xml:space="preserve"> </w:t>
      </w:r>
      <w:r>
        <w:t xml:space="preserve">in 2022, and PwC reports</w:t>
      </w:r>
      <w:r>
        <w:t xml:space="preserve"> </w:t>
      </w:r>
      <w:r>
        <w:rPr>
          <w:b/>
          <w:bCs/>
        </w:rPr>
        <w:t xml:space="preserve">795 cars per 1,000 adults</w:t>
      </w:r>
      <w:r>
        <w:t xml:space="preserve"> </w:t>
      </w:r>
      <w:r>
        <w:t xml:space="preserve">in 2024. That is high enough to justify a rich-country-like ceiling, but still somewhat below Australia/Canada because density is higher and incomes remain lower; I recommend</w:t>
      </w:r>
      <w:r>
        <w:t xml:space="preserve"> </w:t>
      </w:r>
      <w:r>
        <w:rPr>
          <w:b/>
          <w:bCs/>
        </w:rPr>
        <w:t xml:space="preserve">650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Mexico.</w:t>
      </w:r>
      <w:r>
        <w:t xml:space="preserve"> </w:t>
      </w:r>
      <w:r>
        <w:t xml:space="preserve">Mexico’s long-run ceiling should sit between the North American core and Latin American urban-transit-heavy cases. Large territory, high intercity dependence, and substantial metropolitan sprawl push the ceiling upward, but lower income and more durable public-transport and informal-transit use keep it below Canada or the United States;</w:t>
      </w:r>
      <w:r>
        <w:t xml:space="preserve"> </w:t>
      </w:r>
      <w:r>
        <w:rPr>
          <w:b/>
          <w:bCs/>
        </w:rPr>
        <w:t xml:space="preserve">600</w:t>
      </w:r>
      <w:r>
        <w:t xml:space="preserve"> </w:t>
      </w:r>
      <w:r>
        <w:t xml:space="preserve">is the central estimate.</w:t>
      </w:r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New Zealand.</w:t>
      </w:r>
      <w:r>
        <w:t xml:space="preserve"> </w:t>
      </w:r>
      <w:r>
        <w:t xml:space="preserve">New Zealand is one of the clearest high-ceiling cases outside North America: dispersed settlement, high household car dependence, and a historically large light-vehicle fleet keep it close to Australia. I therefore set the passenger-LDV ceiling at</w:t>
      </w:r>
      <w:r>
        <w:t xml:space="preserve"> </w:t>
      </w:r>
      <w:r>
        <w:rPr>
          <w:b/>
          <w:bCs/>
        </w:rPr>
        <w:t xml:space="preserve">820</w:t>
      </w:r>
      <w:r>
        <w:t xml:space="preserve">, slightly below Australia but still firmly in the upper-car-dependence group.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Papua New Guinea.</w:t>
      </w:r>
      <w:r>
        <w:t xml:space="preserve"> </w:t>
      </w:r>
      <w:r>
        <w:t xml:space="preserve">Papua New Guinea is the lowest-confidence estimate in the set. Available motorisation evidence is extremely low — the World Bank-style motor-vehicle series places PNG at only about</w:t>
      </w:r>
      <w:r>
        <w:t xml:space="preserve"> </w:t>
      </w:r>
      <w:r>
        <w:rPr>
          <w:b/>
          <w:bCs/>
        </w:rPr>
        <w:t xml:space="preserve">8.9 motor vehicles per 1,000 people</w:t>
      </w:r>
      <w:r>
        <w:t xml:space="preserve">, and the country’s geography, road access constraints, and income levels imply that mass passenger-LDV ownership will remain structurally limited even in the long run — so I recommend a ceiling of</w:t>
      </w:r>
      <w:r>
        <w:t xml:space="preserve"> </w:t>
      </w:r>
      <w:r>
        <w:rPr>
          <w:b/>
          <w:bCs/>
        </w:rPr>
        <w:t xml:space="preserve">110</w:t>
      </w:r>
      <w:r>
        <w:t xml:space="preserve"> </w:t>
      </w:r>
      <w:r>
        <w:t xml:space="preserve">with a wide uncertainty band.</w:t>
      </w:r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Peru.</w:t>
      </w:r>
      <w:r>
        <w:t xml:space="preserve"> </w:t>
      </w:r>
      <w:r>
        <w:t xml:space="preserve">Peru’s current passenger-car base is still low — around</w:t>
      </w:r>
      <w:r>
        <w:t xml:space="preserve"> </w:t>
      </w:r>
      <w:r>
        <w:rPr>
          <w:b/>
          <w:bCs/>
        </w:rPr>
        <w:t xml:space="preserve">50.6 passenger cars per 1,000 people</w:t>
      </w:r>
      <w:r>
        <w:t xml:space="preserve"> </w:t>
      </w:r>
      <w:r>
        <w:t xml:space="preserve">in 2019 — and urban travel remains heavily public-transport-based, with one GIZ summary reporting</w:t>
      </w:r>
      <w:r>
        <w:t xml:space="preserve"> </w:t>
      </w:r>
      <w:r>
        <w:rPr>
          <w:b/>
          <w:bCs/>
        </w:rPr>
        <w:t xml:space="preserve">70% of urban trips</w:t>
      </w:r>
      <w:r>
        <w:t xml:space="preserve"> </w:t>
      </w:r>
      <w:r>
        <w:t xml:space="preserve">by public transport and</w:t>
      </w:r>
      <w:r>
        <w:t xml:space="preserve"> </w:t>
      </w:r>
      <w:r>
        <w:rPr>
          <w:b/>
          <w:bCs/>
        </w:rPr>
        <w:t xml:space="preserve">80% of Peruvians living in cities</w:t>
      </w:r>
      <w:r>
        <w:t xml:space="preserve">. Those facts argue against a Mexico- or Chile-like asymptote, so I place Peru at</w:t>
      </w:r>
      <w:r>
        <w:t xml:space="preserve"> </w:t>
      </w:r>
      <w:r>
        <w:rPr>
          <w:b/>
          <w:bCs/>
        </w:rPr>
        <w:t xml:space="preserve">280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Philippines.</w:t>
      </w:r>
      <w:r>
        <w:t xml:space="preserve"> </w:t>
      </w:r>
      <w:r>
        <w:t xml:space="preserve">The Philippines is one of the strongest cases for scaling down a generic Gompertz ceiling. The ATO reports only</w:t>
      </w:r>
      <w:r>
        <w:t xml:space="preserve"> </w:t>
      </w:r>
      <w:r>
        <w:rPr>
          <w:b/>
          <w:bCs/>
        </w:rPr>
        <w:t xml:space="preserve">20 LDVs per 1,000 people</w:t>
      </w:r>
      <w:r>
        <w:t xml:space="preserve"> </w:t>
      </w:r>
      <w:r>
        <w:t xml:space="preserve">in 2022, while the World Bank transport background paper projects that by 2050 the country could reach</w:t>
      </w:r>
      <w:r>
        <w:t xml:space="preserve"> </w:t>
      </w:r>
      <w:r>
        <w:rPr>
          <w:b/>
          <w:bCs/>
        </w:rPr>
        <w:t xml:space="preserve">672.9 total vehicles per 1,000</w:t>
      </w:r>
      <w:r>
        <w:t xml:space="preserve"> </w:t>
      </w:r>
      <w:r>
        <w:t xml:space="preserve">but only</w:t>
      </w:r>
      <w:r>
        <w:t xml:space="preserve"> </w:t>
      </w:r>
      <w:r>
        <w:rPr>
          <w:b/>
          <w:bCs/>
        </w:rPr>
        <w:t xml:space="preserve">173 LDVs per 1,000</w:t>
      </w:r>
      <w:r>
        <w:t xml:space="preserve">, because motorcycles and tricycles continue to dominate the fleet. I therefore set saturation at</w:t>
      </w:r>
      <w:r>
        <w:t xml:space="preserve"> </w:t>
      </w:r>
      <w:r>
        <w:rPr>
          <w:b/>
          <w:bCs/>
        </w:rPr>
        <w:t xml:space="preserve">230</w:t>
      </w:r>
      <w:r>
        <w:t xml:space="preserve">, only moderately above the official 2050 LDV pathway.</w:t>
      </w:r>
      <w:r>
        <w:t xml:space="preserve"> </w:t>
      </w:r>
      <w:hyperlink r:id="rId36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Russia.</w:t>
      </w:r>
      <w:r>
        <w:t xml:space="preserve"> </w:t>
      </w:r>
      <w:r>
        <w:t xml:space="preserve">Russia already has a large passenger-car fleet: Autostat reports</w:t>
      </w:r>
      <w:r>
        <w:t xml:space="preserve"> </w:t>
      </w:r>
      <w:r>
        <w:rPr>
          <w:b/>
          <w:bCs/>
        </w:rPr>
        <w:t xml:space="preserve">46.36 million passenger cars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322 passenger cars per 1,000 inhabitants</w:t>
      </w:r>
      <w:r>
        <w:t xml:space="preserve"> </w:t>
      </w:r>
      <w:r>
        <w:t xml:space="preserve">as of 1 January 2024. Land area and climate argue for a higher ceiling than in dense East Asian economies, but weaker income fundamentals and an ageing fleet argue against a Canada-like asymptote, so I set the ceiling at</w:t>
      </w:r>
      <w:r>
        <w:t xml:space="preserve"> </w:t>
      </w:r>
      <w:r>
        <w:rPr>
          <w:b/>
          <w:bCs/>
        </w:rPr>
        <w:t xml:space="preserve">560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Singapore.</w:t>
      </w:r>
      <w:r>
        <w:t xml:space="preserve"> </w:t>
      </w:r>
      <w:r>
        <w:t xml:space="preserve">Singapore is the purest policy-constrained market in APEC. The ATO reports</w:t>
      </w:r>
      <w:r>
        <w:t xml:space="preserve"> </w:t>
      </w:r>
      <w:r>
        <w:rPr>
          <w:b/>
          <w:bCs/>
        </w:rPr>
        <w:t xml:space="preserve">112 LDVs per 1,000 people</w:t>
      </w:r>
      <w:r>
        <w:t xml:space="preserve"> </w:t>
      </w:r>
      <w:r>
        <w:t xml:space="preserve">in 2022; official statistics show</w:t>
      </w:r>
      <w:r>
        <w:t xml:space="preserve"> </w:t>
      </w:r>
      <w:r>
        <w:rPr>
          <w:b/>
          <w:bCs/>
        </w:rPr>
        <w:t xml:space="preserve">524,312 private cars</w:t>
      </w:r>
      <w:r>
        <w:t xml:space="preserve"> </w:t>
      </w:r>
      <w:r>
        <w:t xml:space="preserve">in 2025; the Ministry of Transport notes that roads already take up</w:t>
      </w:r>
      <w:r>
        <w:t xml:space="preserve"> </w:t>
      </w:r>
      <w:r>
        <w:rPr>
          <w:b/>
          <w:bCs/>
        </w:rPr>
        <w:t xml:space="preserve">12% of land area</w:t>
      </w:r>
      <w:r>
        <w:t xml:space="preserve"> </w:t>
      </w:r>
      <w:r>
        <w:t xml:space="preserve">and that the vehicle growth rate for cars has been</w:t>
      </w:r>
      <w:r>
        <w:t xml:space="preserve"> </w:t>
      </w:r>
      <w:r>
        <w:rPr>
          <w:b/>
          <w:bCs/>
        </w:rPr>
        <w:t xml:space="preserve">zero since 2018</w:t>
      </w:r>
      <w:r>
        <w:t xml:space="preserve"> </w:t>
      </w:r>
      <w:r>
        <w:t xml:space="preserve">and is now extended to</w:t>
      </w:r>
      <w:r>
        <w:t xml:space="preserve"> </w:t>
      </w:r>
      <w:r>
        <w:rPr>
          <w:b/>
          <w:bCs/>
        </w:rPr>
        <w:t xml:space="preserve">31 January 2028</w:t>
      </w:r>
      <w:r>
        <w:t xml:space="preserve">. That supports a very low but not fixed ceiling of</w:t>
      </w:r>
      <w:r>
        <w:t xml:space="preserve"> </w:t>
      </w:r>
      <w:r>
        <w:rPr>
          <w:b/>
          <w:bCs/>
        </w:rPr>
        <w:t xml:space="preserve">135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Chinese Taipei.</w:t>
      </w:r>
      <w:r>
        <w:t xml:space="preserve"> </w:t>
      </w:r>
      <w:r>
        <w:t xml:space="preserve">Chinese Taipei is structurally closer to the dense, high-income Asian economies than to the Anglo car-dependent ones, but with more extensive suburban and peri-urban car use than Hong Kong or Singapore. In the absence of a recent explicit fitted passenger-LDV saturation estimate, I place the ceiling at</w:t>
      </w:r>
      <w:r>
        <w:t xml:space="preserve"> </w:t>
      </w:r>
      <w:r>
        <w:rPr>
          <w:b/>
          <w:bCs/>
        </w:rPr>
        <w:t xml:space="preserve">500</w:t>
      </w:r>
      <w:r>
        <w:t xml:space="preserve">, reflecting high income but durable density and alternative-mode constraints.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Thailand.</w:t>
      </w:r>
      <w:r>
        <w:t xml:space="preserve"> </w:t>
      </w:r>
      <w:r>
        <w:t xml:space="preserve">Thailand’s current structure is mixed rather than purely car-led: the ATO reports</w:t>
      </w:r>
      <w:r>
        <w:t xml:space="preserve"> </w:t>
      </w:r>
      <w:r>
        <w:rPr>
          <w:b/>
          <w:bCs/>
        </w:rPr>
        <w:t xml:space="preserve">265 LDVs per 1,000 people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311 2&amp;3-wheelers per 1,000</w:t>
      </w:r>
      <w:r>
        <w:t xml:space="preserve">, for a total motorisation rate of</w:t>
      </w:r>
      <w:r>
        <w:t xml:space="preserve"> </w:t>
      </w:r>
      <w:r>
        <w:rPr>
          <w:b/>
          <w:bCs/>
        </w:rPr>
        <w:t xml:space="preserve">596 per 1,000</w:t>
      </w:r>
      <w:r>
        <w:t xml:space="preserve">. This is much more motorised than Indonesia or the Philippines, but the coexistence of motorcycles and passenger pickups/SUVs implies a moderate passenger-LDV ceiling of</w:t>
      </w:r>
      <w:r>
        <w:t xml:space="preserve"> </w:t>
      </w:r>
      <w:r>
        <w:rPr>
          <w:b/>
          <w:bCs/>
        </w:rPr>
        <w:t xml:space="preserve">430</w:t>
      </w:r>
      <w:r>
        <w:t xml:space="preserve">, not a Malaysia-like one.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United States of America.</w:t>
      </w:r>
      <w:r>
        <w:t xml:space="preserve"> </w:t>
      </w:r>
      <w:r>
        <w:t xml:space="preserve">The United States remains the highest-ceiling benchmark in the set. The IMF literature review places generic rich-country saturation at about</w:t>
      </w:r>
      <w:r>
        <w:t xml:space="preserve"> </w:t>
      </w:r>
      <w:r>
        <w:rPr>
          <w:b/>
          <w:bCs/>
        </w:rPr>
        <w:t xml:space="preserve">850 vehicles per 1,000 people</w:t>
      </w:r>
      <w:r>
        <w:t xml:space="preserve">, and both the broader literature and current US travel patterns indicate that the United States sits at or near the global maximum for structural car dependence, so I set the passenger-LDV ceiling at</w:t>
      </w:r>
      <w:r>
        <w:t xml:space="preserve"> </w:t>
      </w:r>
      <w:r>
        <w:rPr>
          <w:b/>
          <w:bCs/>
        </w:rPr>
        <w:t xml:space="preserve">890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Viet Nam.</w:t>
      </w:r>
      <w:r>
        <w:t xml:space="preserve"> </w:t>
      </w:r>
      <w:r>
        <w:t xml:space="preserve">Viet Nam is still a motorcycle-dominant market today — the ATO reports</w:t>
      </w:r>
      <w:r>
        <w:t xml:space="preserve"> </w:t>
      </w:r>
      <w:r>
        <w:rPr>
          <w:b/>
          <w:bCs/>
        </w:rPr>
        <w:t xml:space="preserve">34 LDVs per 1,000 people</w:t>
      </w:r>
      <w:r>
        <w:t xml:space="preserve"> </w:t>
      </w:r>
      <w:r>
        <w:t xml:space="preserve">in 2022 — but the World Bank roadmap expects a decisive shift after 2035, reaching</w:t>
      </w:r>
      <w:r>
        <w:t xml:space="preserve"> </w:t>
      </w:r>
      <w:r>
        <w:rPr>
          <w:b/>
          <w:bCs/>
        </w:rPr>
        <w:t xml:space="preserve">312 active passenger cars per 1,000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66.3 million registered passenger cars</w:t>
      </w:r>
      <w:r>
        <w:t xml:space="preserve"> </w:t>
      </w:r>
      <w:r>
        <w:t xml:space="preserve">by 2050. Because dense cities, parking scarcity, and a long motorcycle legacy will still restrain full rich-country convergence, I recommend a ceiling of</w:t>
      </w:r>
      <w:r>
        <w:t xml:space="preserve"> </w:t>
      </w:r>
      <w:r>
        <w:rPr>
          <w:b/>
          <w:bCs/>
        </w:rPr>
        <w:t xml:space="preserve">360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</w:p>
    <w:bookmarkEnd w:id="41"/>
    <w:bookmarkStart w:id="42" w:name="csv-content-block"/>
    <w:p>
      <w:pPr>
        <w:pStyle w:val="Heading2"/>
      </w:pPr>
      <w:r>
        <w:t xml:space="preserve">CSV content block</w:t>
      </w:r>
    </w:p>
    <w:p>
      <w:pPr>
        <w:pStyle w:val="FirstParagraph"/>
      </w:pPr>
      <w:r>
        <w:t xml:space="preserve">The values below are the recommended LEAP inputs for a passenger-LDV saturation ceiling in vehicles per 1,000 people. All rows are intentionally marked</w:t>
      </w:r>
      <w:r>
        <w:t xml:space="preserve"> </w:t>
      </w:r>
      <w:r>
        <w:rPr>
          <w:rStyle w:val="VerbatimChar"/>
        </w:rPr>
        <w:t xml:space="preserve">synthetic_estimate</w:t>
      </w:r>
      <w:r>
        <w:t xml:space="preserve">, because even the strongest cases still require model translation rather than direct observation.</w:t>
      </w:r>
    </w:p>
    <w:p>
      <w:pPr>
        <w:pStyle w:val="SourceCode"/>
      </w:pPr>
      <w:r>
        <w:rPr>
          <w:rStyle w:val="VerbatimChar"/>
        </w:rPr>
        <w:t xml:space="preserve">project_code,economy,data_year,saturation_vehicles_per_1000,lower_bound,upper_bound,evidence_grade,estimation_status</w:t>
      </w:r>
      <w:r>
        <w:br/>
      </w:r>
      <w:r>
        <w:rPr>
          <w:rStyle w:val="VerbatimChar"/>
        </w:rPr>
        <w:t xml:space="preserve">01AUS,Australia,2024,860,780,920,B,synthetic_estimate</w:t>
      </w:r>
      <w:r>
        <w:br/>
      </w:r>
      <w:r>
        <w:rPr>
          <w:rStyle w:val="VerbatimChar"/>
        </w:rPr>
        <w:t xml:space="preserve">02BD,Brunei Darussalam,2024,780,700,850,B,synthetic_estimate</w:t>
      </w:r>
      <w:r>
        <w:br/>
      </w:r>
      <w:r>
        <w:rPr>
          <w:rStyle w:val="VerbatimChar"/>
        </w:rPr>
        <w:t xml:space="preserve">03CDA,Canada,2024,840,760,900,B,synthetic_estimate</w:t>
      </w:r>
      <w:r>
        <w:br/>
      </w:r>
      <w:r>
        <w:rPr>
          <w:rStyle w:val="VerbatimChar"/>
        </w:rPr>
        <w:t xml:space="preserve">04CHL,Chile,2024,560,470,650,B,synthetic_estimate</w:t>
      </w:r>
      <w:r>
        <w:br/>
      </w:r>
      <w:r>
        <w:rPr>
          <w:rStyle w:val="VerbatimChar"/>
        </w:rPr>
        <w:t xml:space="preserve">05PRC,China (People's Republic of China),2024,550,460,650,B,synthetic_estimate</w:t>
      </w:r>
      <w:r>
        <w:br/>
      </w:r>
      <w:r>
        <w:rPr>
          <w:rStyle w:val="VerbatimChar"/>
        </w:rPr>
        <w:t xml:space="preserve">06HKC,Hong Kong China,2024,110,90,135,B,synthetic_estimate</w:t>
      </w:r>
      <w:r>
        <w:br/>
      </w:r>
      <w:r>
        <w:rPr>
          <w:rStyle w:val="VerbatimChar"/>
        </w:rPr>
        <w:t xml:space="preserve">07INA,Indonesia,2024,230,170,310,B,synthetic_estimate</w:t>
      </w:r>
      <w:r>
        <w:br/>
      </w:r>
      <w:r>
        <w:rPr>
          <w:rStyle w:val="VerbatimChar"/>
        </w:rPr>
        <w:t xml:space="preserve">08JPN,Japan,2024,600,540,660,B,synthetic_estimate</w:t>
      </w:r>
      <w:r>
        <w:br/>
      </w:r>
      <w:r>
        <w:rPr>
          <w:rStyle w:val="VerbatimChar"/>
        </w:rPr>
        <w:t xml:space="preserve">09ROK,Republic of Korea,2024,560,500,630,C,synthetic_estimate</w:t>
      </w:r>
      <w:r>
        <w:br/>
      </w:r>
      <w:r>
        <w:rPr>
          <w:rStyle w:val="VerbatimChar"/>
        </w:rPr>
        <w:t xml:space="preserve">10MAS,Malaysia,2024,650,580,730,B,synthetic_estimate</w:t>
      </w:r>
      <w:r>
        <w:br/>
      </w:r>
      <w:r>
        <w:rPr>
          <w:rStyle w:val="VerbatimChar"/>
        </w:rPr>
        <w:t xml:space="preserve">11MEX,Mexico,2024,600,520,690,B,synthetic_estimate</w:t>
      </w:r>
      <w:r>
        <w:br/>
      </w:r>
      <w:r>
        <w:rPr>
          <w:rStyle w:val="VerbatimChar"/>
        </w:rPr>
        <w:t xml:space="preserve">12NZ,New Zealand,2024,820,740,880,B,synthetic_estimate</w:t>
      </w:r>
      <w:r>
        <w:br/>
      </w:r>
      <w:r>
        <w:rPr>
          <w:rStyle w:val="VerbatimChar"/>
        </w:rPr>
        <w:t xml:space="preserve">13PNG,Papua New Guinea,2024,110,60,170,D,synthetic_estimate</w:t>
      </w:r>
      <w:r>
        <w:br/>
      </w:r>
      <w:r>
        <w:rPr>
          <w:rStyle w:val="VerbatimChar"/>
        </w:rPr>
        <w:t xml:space="preserve">14PE,Peru,2024,280,200,360,C,synthetic_estimate</w:t>
      </w:r>
      <w:r>
        <w:br/>
      </w:r>
      <w:r>
        <w:rPr>
          <w:rStyle w:val="VerbatimChar"/>
        </w:rPr>
        <w:t xml:space="preserve">15PHL,Philippines,2024,230,170,300,B,synthetic_estimate</w:t>
      </w:r>
      <w:r>
        <w:br/>
      </w:r>
      <w:r>
        <w:rPr>
          <w:rStyle w:val="VerbatimChar"/>
        </w:rPr>
        <w:t xml:space="preserve">16RUS,Russia,2024,560,470,650,C,synthetic_estimate</w:t>
      </w:r>
      <w:r>
        <w:br/>
      </w:r>
      <w:r>
        <w:rPr>
          <w:rStyle w:val="VerbatimChar"/>
        </w:rPr>
        <w:t xml:space="preserve">17SGP,Singapore,2024,135,120,155,B,synthetic_estimate</w:t>
      </w:r>
      <w:r>
        <w:br/>
      </w:r>
      <w:r>
        <w:rPr>
          <w:rStyle w:val="VerbatimChar"/>
        </w:rPr>
        <w:t xml:space="preserve">18CT,Chinese Taipei,2024,500,430,570,C,synthetic_estimate</w:t>
      </w:r>
      <w:r>
        <w:br/>
      </w:r>
      <w:r>
        <w:rPr>
          <w:rStyle w:val="VerbatimChar"/>
        </w:rPr>
        <w:t xml:space="preserve">19THA,Thailand,2024,430,360,520,B,synthetic_estimate</w:t>
      </w:r>
      <w:r>
        <w:br/>
      </w:r>
      <w:r>
        <w:rPr>
          <w:rStyle w:val="VerbatimChar"/>
        </w:rPr>
        <w:t xml:space="preserve">20USA,United States of America,2024,890,830,940,B,synthetic_estimate</w:t>
      </w:r>
      <w:r>
        <w:br/>
      </w:r>
      <w:r>
        <w:rPr>
          <w:rStyle w:val="VerbatimChar"/>
        </w:rPr>
        <w:t xml:space="preserve">21VN,Viet Nam,2024,360,300,440,B,synthetic_estimate</w:t>
      </w:r>
    </w:p>
    <w:bookmarkEnd w:id="42"/>
    <w:bookmarkStart w:id="43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biggest limitation is</w:t>
      </w:r>
      <w:r>
        <w:t xml:space="preserve"> </w:t>
      </w:r>
      <w:r>
        <w:rPr>
          <w:b/>
          <w:bCs/>
        </w:rPr>
        <w:t xml:space="preserve">variable mismatch</w:t>
      </w:r>
      <w:r>
        <w:t xml:space="preserve">. Much of the classic Gompertz literature estimates</w:t>
      </w:r>
      <w:r>
        <w:t xml:space="preserve"> </w:t>
      </w:r>
      <w:r>
        <w:rPr>
          <w:b/>
          <w:bCs/>
        </w:rPr>
        <w:t xml:space="preserve">total road-vehicle</w:t>
      </w:r>
      <w:r>
        <w:t xml:space="preserve"> </w:t>
      </w:r>
      <w:r>
        <w:t xml:space="preserve">saturation, whereas your LEAP application needs</w:t>
      </w:r>
      <w:r>
        <w:t xml:space="preserve"> </w:t>
      </w:r>
      <w:r>
        <w:rPr>
          <w:b/>
          <w:bCs/>
        </w:rPr>
        <w:t xml:space="preserve">passenger LDVs</w:t>
      </w:r>
      <w:r>
        <w:t xml:space="preserve">; I have corrected for that using current LDV shares and structural judgement, but that translation is inevitably approximate, especially in economies where pickups, vans, or quasi-commercial household vehicles blur the line between passenger and non-passenger use.[1][9][10][11][19]</w:t>
      </w:r>
      <w:r>
        <w:t xml:space="preserve"> </w:t>
      </w:r>
      <w:hyperlink r:id="rId22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The second limitation is that</w:t>
      </w:r>
      <w:r>
        <w:t xml:space="preserve"> </w:t>
      </w:r>
      <w:r>
        <w:rPr>
          <w:b/>
          <w:bCs/>
        </w:rPr>
        <w:t xml:space="preserve">registration concepts differ</w:t>
      </w:r>
      <w:r>
        <w:t xml:space="preserve"> </w:t>
      </w:r>
      <w:r>
        <w:t xml:space="preserve">across sources. Some sources count registered stock, others active stock, others passenger cars narrowly, and others broader LDVs; the World Bank Viet Nam roadmap, for example, distinguishes between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passenger-car stock and</w:t>
      </w:r>
      <w:r>
        <w:t xml:space="preserve"> </w:t>
      </w:r>
      <w:r>
        <w:rPr>
          <w:b/>
          <w:bCs/>
        </w:rPr>
        <w:t xml:space="preserve">registered</w:t>
      </w:r>
      <w:r>
        <w:t xml:space="preserve"> </w:t>
      </w:r>
      <w:r>
        <w:t xml:space="preserve">passenger-car stock, and the Philippines official pathway separately tracks total vehicles and LDVs.[13][14] For LEAP, what matters most is internal consistency: once you adopt a ceiling, your historical stock series and Gompertz/logistic function should use the same stock concept.</w:t>
      </w:r>
      <w:r>
        <w:t xml:space="preserve"> </w:t>
      </w:r>
      <w:hyperlink r:id="rId25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Thirdly, several ceilings — especially for</w:t>
      </w:r>
      <w:r>
        <w:t xml:space="preserve"> </w:t>
      </w:r>
      <w:r>
        <w:rPr>
          <w:b/>
          <w:bCs/>
        </w:rPr>
        <w:t xml:space="preserve">PNG, Chinese Taipei, Russia, Peru, and Korea</w:t>
      </w:r>
      <w:r>
        <w:t xml:space="preserve"> </w:t>
      </w:r>
      <w:r>
        <w:t xml:space="preserve">— are structurally reasoned rather than directly curve-fitted. They are still useful for scenario modelling, but they should be treated as calibration priors rather than immutable truths. If you later assemble a harmonised historical series of passenger LDVs per 1,000 people and PPP GDP per capita for each economy, several of these economies could be upgraded from</w:t>
      </w:r>
      <w:r>
        <w:t xml:space="preserve"> </w:t>
      </w:r>
      <w:r>
        <w:rPr>
          <w:b/>
          <w:bCs/>
        </w:rPr>
        <w:t xml:space="preserve">C/D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through explicit refitting.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Finally, these ceilings assume that today’s</w:t>
      </w:r>
      <w:r>
        <w:t xml:space="preserve"> </w:t>
      </w:r>
      <w:r>
        <w:rPr>
          <w:b/>
          <w:bCs/>
        </w:rPr>
        <w:t xml:space="preserve">deep structural constraints persist</w:t>
      </w:r>
      <w:r>
        <w:t xml:space="preserve">: Hong Kong and Singapore continue to manage car growth; Southeast Asia’s two-wheeler-heavy economies do not fully westernise their modal mix; and high-density East Asian economies continue to support strong public transport. If your scenario assumes a major break from those structural conditions — for example, extensive autonomous shared mobility, radical road-pricing reform, or large-scale suburbanisation — the upper bounds would become more relevant than the central estimates.[6][7][8][13][14]</w:t>
      </w:r>
      <w:r>
        <w:t xml:space="preserve"> </w:t>
      </w:r>
      <w:hyperlink r:id="rId26">
        <w:r>
          <w:rPr>
            <w:rStyle w:val="Hyperlink"/>
          </w:rPr>
          <w:t xml:space="preserve">[26]</w:t>
        </w:r>
      </w:hyperlink>
    </w:p>
    <w:bookmarkEnd w:id="43"/>
    <w:bookmarkStart w:id="50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Dargay and Gately’s density-adjusted global vehicle-ownership modelling, including the finding that projected saturation ranges from</w:t>
      </w:r>
      <w:r>
        <w:t xml:space="preserve"> </w:t>
      </w:r>
      <w:r>
        <w:rPr>
          <w:b/>
          <w:bCs/>
        </w:rPr>
        <w:t xml:space="preserve">0.42 vehicles/person in Korea to 0.91 in Australia</w:t>
      </w:r>
      <w:r>
        <w:t xml:space="preserve"> </w:t>
      </w:r>
      <w:r>
        <w:t xml:space="preserve">and averages around</w:t>
      </w:r>
      <w:r>
        <w:t xml:space="preserve"> </w:t>
      </w:r>
      <w:r>
        <w:rPr>
          <w:b/>
          <w:bCs/>
        </w:rPr>
        <w:t xml:space="preserve">0.8</w:t>
      </w:r>
      <w:r>
        <w:t xml:space="preserve"> </w:t>
      </w:r>
      <w:r>
        <w:t xml:space="preserve">across countries.</w:t>
      </w:r>
      <w:r>
        <w:t xml:space="preserve"> </w:t>
      </w:r>
      <w:hyperlink r:id="rId22">
        <w:r>
          <w:rPr>
            <w:rStyle w:val="Hyperlink"/>
          </w:rPr>
          <w:t xml:space="preserve">[27]</w:t>
        </w:r>
      </w:hyperlink>
    </w:p>
    <w:p>
      <w:pPr>
        <w:numPr>
          <w:ilvl w:val="0"/>
          <w:numId w:val="1001"/>
        </w:numPr>
      </w:pPr>
      <w:r>
        <w:t xml:space="preserve">IMF,</w:t>
      </w:r>
      <w:r>
        <w:t xml:space="preserve"> </w:t>
      </w:r>
      <w:r>
        <w:rPr>
          <w:i/>
          <w:iCs/>
        </w:rPr>
        <w:t xml:space="preserve">World Economic Outlook</w:t>
      </w:r>
      <w:r>
        <w:t xml:space="preserve"> </w:t>
      </w:r>
      <w:r>
        <w:t xml:space="preserve">Figure 4.7: vehicle ownership grows rapidly between roughly</w:t>
      </w:r>
      <w:r>
        <w:t xml:space="preserve"> </w:t>
      </w:r>
      <w:r>
        <w:rPr>
          <w:b/>
          <w:bCs/>
        </w:rPr>
        <w:t xml:space="preserve">PPP US$2,500–10,000</w:t>
      </w:r>
      <w:r>
        <w:t xml:space="preserve"> </w:t>
      </w:r>
      <w:r>
        <w:t xml:space="preserve">and the generic saturation level is about</w:t>
      </w:r>
      <w:r>
        <w:t xml:space="preserve"> </w:t>
      </w:r>
      <w:r>
        <w:rPr>
          <w:b/>
          <w:bCs/>
        </w:rPr>
        <w:t xml:space="preserve">850 vehicles per 1,000 people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[28]</w:t>
        </w:r>
      </w:hyperlink>
    </w:p>
    <w:p>
      <w:pPr>
        <w:numPr>
          <w:ilvl w:val="0"/>
          <w:numId w:val="1001"/>
        </w:numPr>
      </w:pPr>
      <w:r>
        <w:t xml:space="preserve">ITF Transport Outlook snippet noting that Europe had reached about</w:t>
      </w:r>
      <w:r>
        <w:t xml:space="preserve"> </w:t>
      </w:r>
      <w:r>
        <w:rPr>
          <w:b/>
          <w:bCs/>
        </w:rPr>
        <w:t xml:space="preserve">600 vehicles per 1,000 inhabitants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Japan</w:t>
      </w:r>
      <w:r>
        <w:t xml:space="preserve"> </w:t>
      </w:r>
      <w:r>
        <w:t xml:space="preserve">showed a weaker response at about</w:t>
      </w:r>
      <w:r>
        <w:t xml:space="preserve"> </w:t>
      </w:r>
      <w:r>
        <w:rPr>
          <w:b/>
          <w:bCs/>
        </w:rPr>
        <w:t xml:space="preserve">400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[29]</w:t>
        </w:r>
      </w:hyperlink>
    </w:p>
    <w:p>
      <w:pPr>
        <w:numPr>
          <w:ilvl w:val="0"/>
          <w:numId w:val="1001"/>
        </w:numPr>
      </w:pPr>
      <w:r>
        <w:t xml:space="preserve">Australia BITRE,</w:t>
      </w:r>
      <w:r>
        <w:t xml:space="preserve"> </w:t>
      </w:r>
      <w:r>
        <w:rPr>
          <w:i/>
          <w:iCs/>
        </w:rPr>
        <w:t xml:space="preserve">Road vehicles Australia, January 2024</w:t>
      </w:r>
      <w:r>
        <w:t xml:space="preserve">:</w:t>
      </w:r>
      <w:r>
        <w:t xml:space="preserve"> </w:t>
      </w:r>
      <w:r>
        <w:rPr>
          <w:b/>
          <w:bCs/>
        </w:rPr>
        <w:t xml:space="preserve">582.2 registered passenger vehicles per 1,000 persons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[30]</w:t>
        </w:r>
      </w:hyperlink>
    </w:p>
    <w:p>
      <w:pPr>
        <w:numPr>
          <w:ilvl w:val="0"/>
          <w:numId w:val="1001"/>
        </w:numPr>
      </w:pPr>
      <w:r>
        <w:t xml:space="preserve">Statistics Canada,</w:t>
      </w:r>
      <w:r>
        <w:t xml:space="preserve"> </w:t>
      </w:r>
      <w:r>
        <w:rPr>
          <w:i/>
          <w:iCs/>
        </w:rPr>
        <w:t xml:space="preserve">Vehicle registrations, 2024</w:t>
      </w:r>
      <w:r>
        <w:t xml:space="preserve">:</w:t>
      </w:r>
      <w:r>
        <w:t xml:space="preserve"> </w:t>
      </w:r>
      <w:r>
        <w:rPr>
          <w:b/>
          <w:bCs/>
        </w:rPr>
        <w:t xml:space="preserve">26.8 million</w:t>
      </w:r>
      <w:r>
        <w:t xml:space="preserve"> </w:t>
      </w:r>
      <w:r>
        <w:t xml:space="preserve">registered road motor vehicles,</w:t>
      </w:r>
      <w:r>
        <w:t xml:space="preserve"> </w:t>
      </w:r>
      <w:r>
        <w:rPr>
          <w:b/>
          <w:bCs/>
        </w:rPr>
        <w:t xml:space="preserve">91.6%</w:t>
      </w:r>
      <w:r>
        <w:t xml:space="preserve"> </w:t>
      </w:r>
      <w:r>
        <w:t xml:space="preserve">light-duty vehicles.</w:t>
      </w:r>
      <w:r>
        <w:t xml:space="preserve"> </w:t>
      </w:r>
      <w:hyperlink r:id="rId28">
        <w:r>
          <w:rPr>
            <w:rStyle w:val="Hyperlink"/>
          </w:rPr>
          <w:t xml:space="preserve">[31]</w:t>
        </w:r>
      </w:hyperlink>
    </w:p>
    <w:p>
      <w:pPr>
        <w:numPr>
          <w:ilvl w:val="0"/>
          <w:numId w:val="1001"/>
        </w:numPr>
      </w:pPr>
      <w:r>
        <w:t xml:space="preserve">Hong Kong Transport Department, end-2024 private-car stock:</w:t>
      </w:r>
      <w:r>
        <w:t xml:space="preserve"> </w:t>
      </w:r>
      <w:r>
        <w:rPr>
          <w:b/>
          <w:bCs/>
        </w:rPr>
        <w:t xml:space="preserve">578,001 licensed private cars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[32]</w:t>
        </w:r>
      </w:hyperlink>
    </w:p>
    <w:p>
      <w:pPr>
        <w:numPr>
          <w:ilvl w:val="0"/>
          <w:numId w:val="1001"/>
        </w:numPr>
      </w:pPr>
      <w:r>
        <w:t xml:space="preserve">Cullinane,</w:t>
      </w:r>
      <w:r>
        <w:t xml:space="preserve"> </w:t>
      </w:r>
      <w:r>
        <w:rPr>
          <w:i/>
          <w:iCs/>
        </w:rPr>
        <w:t xml:space="preserve">Hong Kong’s low car dependence</w:t>
      </w:r>
      <w:r>
        <w:t xml:space="preserve">:</w:t>
      </w:r>
      <w:r>
        <w:t xml:space="preserve"> </w:t>
      </w:r>
      <w:r>
        <w:rPr>
          <w:b/>
          <w:bCs/>
        </w:rPr>
        <w:t xml:space="preserve">48 cars per 1,000 population</w:t>
      </w:r>
      <w:r>
        <w:t xml:space="preserve"> </w:t>
      </w:r>
      <w:r>
        <w:t xml:space="preserve">in 2000 despite Western-comparable income; density and high-quality public transport are central explanatory factors.</w:t>
      </w:r>
      <w:r>
        <w:t xml:space="preserve"> </w:t>
      </w:r>
      <w:hyperlink r:id="rId45">
        <w:r>
          <w:rPr>
            <w:rStyle w:val="Hyperlink"/>
          </w:rPr>
          <w:t xml:space="preserve">[33]</w:t>
        </w:r>
      </w:hyperlink>
    </w:p>
    <w:p>
      <w:pPr>
        <w:numPr>
          <w:ilvl w:val="0"/>
          <w:numId w:val="1001"/>
        </w:numPr>
      </w:pPr>
      <w:r>
        <w:t xml:space="preserve">Singapore Ministry of Transport, LTA, and SingStat: roads occupy</w:t>
      </w:r>
      <w:r>
        <w:t xml:space="preserve"> </w:t>
      </w:r>
      <w:r>
        <w:rPr>
          <w:b/>
          <w:bCs/>
        </w:rPr>
        <w:t xml:space="preserve">12% of land area</w:t>
      </w:r>
      <w:r>
        <w:t xml:space="preserve">; car growth has been</w:t>
      </w:r>
      <w:r>
        <w:t xml:space="preserve"> </w:t>
      </w:r>
      <w:r>
        <w:rPr>
          <w:b/>
          <w:bCs/>
        </w:rPr>
        <w:t xml:space="preserve">zero since 2018</w:t>
      </w:r>
      <w:r>
        <w:t xml:space="preserve"> </w:t>
      </w:r>
      <w:r>
        <w:t xml:space="preserve">and extended to</w:t>
      </w:r>
      <w:r>
        <w:t xml:space="preserve"> </w:t>
      </w:r>
      <w:r>
        <w:rPr>
          <w:b/>
          <w:bCs/>
        </w:rPr>
        <w:t xml:space="preserve">31 January 2028</w:t>
      </w:r>
      <w:r>
        <w:t xml:space="preserve">;</w:t>
      </w:r>
      <w:r>
        <w:t xml:space="preserve"> </w:t>
      </w:r>
      <w:r>
        <w:rPr>
          <w:b/>
          <w:bCs/>
        </w:rPr>
        <w:t xml:space="preserve">524,312 private cars</w:t>
      </w:r>
      <w:r>
        <w:t xml:space="preserve"> </w:t>
      </w:r>
      <w:r>
        <w:t xml:space="preserve">in 2025; total population</w:t>
      </w:r>
      <w:r>
        <w:t xml:space="preserve"> </w:t>
      </w:r>
      <w:r>
        <w:rPr>
          <w:b/>
          <w:bCs/>
        </w:rPr>
        <w:t xml:space="preserve">6.11 million</w:t>
      </w:r>
      <w:r>
        <w:t xml:space="preserve"> </w:t>
      </w:r>
      <w:r>
        <w:t xml:space="preserve">in 2025.</w:t>
      </w:r>
      <w:r>
        <w:t xml:space="preserve"> </w:t>
      </w:r>
      <w:hyperlink r:id="rId46">
        <w:r>
          <w:rPr>
            <w:rStyle w:val="Hyperlink"/>
          </w:rPr>
          <w:t xml:space="preserve">[34]</w:t>
        </w:r>
      </w:hyperlink>
    </w:p>
    <w:p>
      <w:pPr>
        <w:numPr>
          <w:ilvl w:val="0"/>
          <w:numId w:val="1001"/>
        </w:numPr>
      </w:pPr>
      <w:r>
        <w:t xml:space="preserve">Asian Transport Observatory, Brunei Aichi profile: 2022 motorisation includes</w:t>
      </w:r>
      <w:r>
        <w:t xml:space="preserve"> </w:t>
      </w:r>
      <w:r>
        <w:rPr>
          <w:b/>
          <w:bCs/>
        </w:rPr>
        <w:t xml:space="preserve">644 LDVs per 1,000 people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</w:p>
    <w:p>
      <w:pPr>
        <w:numPr>
          <w:ilvl w:val="0"/>
          <w:numId w:val="1001"/>
        </w:numPr>
      </w:pPr>
      <w:r>
        <w:t xml:space="preserve">Asian Transport Observatory, Indonesia and Thailand Aichi profiles: 2022 motorisation includes</w:t>
      </w:r>
      <w:r>
        <w:t xml:space="preserve"> </w:t>
      </w:r>
      <w:r>
        <w:rPr>
          <w:b/>
          <w:bCs/>
        </w:rPr>
        <w:t xml:space="preserve">62 LDVs per 1,000</w:t>
      </w:r>
      <w:r>
        <w:t xml:space="preserve"> </w:t>
      </w:r>
      <w:r>
        <w:t xml:space="preserve">in Indonesia and</w:t>
      </w:r>
      <w:r>
        <w:t xml:space="preserve"> </w:t>
      </w:r>
      <w:r>
        <w:rPr>
          <w:b/>
          <w:bCs/>
        </w:rPr>
        <w:t xml:space="preserve">265 LDVs per 1,000</w:t>
      </w:r>
      <w:r>
        <w:t xml:space="preserve"> </w:t>
      </w:r>
      <w:r>
        <w:t xml:space="preserve">in Thailand.</w:t>
      </w:r>
      <w:r>
        <w:t xml:space="preserve"> </w:t>
      </w:r>
      <w:hyperlink r:id="rId31">
        <w:r>
          <w:rPr>
            <w:rStyle w:val="Hyperlink"/>
          </w:rPr>
          <w:t xml:space="preserve">[36]</w:t>
        </w:r>
      </w:hyperlink>
    </w:p>
    <w:p>
      <w:pPr>
        <w:numPr>
          <w:ilvl w:val="0"/>
          <w:numId w:val="1001"/>
        </w:numPr>
      </w:pPr>
      <w:r>
        <w:t xml:space="preserve">Asian Transport Observatory, Malaysia, Viet Nam, and Philippines Aichi profiles: 2022 LDV rates of</w:t>
      </w:r>
      <w:r>
        <w:t xml:space="preserve"> </w:t>
      </w:r>
      <w:r>
        <w:rPr>
          <w:b/>
          <w:bCs/>
        </w:rPr>
        <w:t xml:space="preserve">493</w:t>
      </w:r>
      <w:r>
        <w:t xml:space="preserve"> </w:t>
      </w:r>
      <w:r>
        <w:t xml:space="preserve">in Malaysia,</w:t>
      </w:r>
      <w:r>
        <w:t xml:space="preserve"> </w:t>
      </w:r>
      <w:r>
        <w:rPr>
          <w:b/>
          <w:bCs/>
        </w:rPr>
        <w:t xml:space="preserve">34</w:t>
      </w:r>
      <w:r>
        <w:t xml:space="preserve"> </w:t>
      </w:r>
      <w:r>
        <w:t xml:space="preserve">in Viet Nam, and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in the Philippines per 1,000 people.</w:t>
      </w:r>
      <w:r>
        <w:t xml:space="preserve"> </w:t>
      </w:r>
      <w:hyperlink r:id="rId33">
        <w:r>
          <w:rPr>
            <w:rStyle w:val="Hyperlink"/>
          </w:rPr>
          <w:t xml:space="preserve">[37]</w:t>
        </w:r>
      </w:hyperlink>
    </w:p>
    <w:p>
      <w:pPr>
        <w:numPr>
          <w:ilvl w:val="0"/>
          <w:numId w:val="1001"/>
        </w:numPr>
      </w:pPr>
      <w:r>
        <w:t xml:space="preserve">PwC,</w:t>
      </w:r>
      <w:r>
        <w:t xml:space="preserve"> </w:t>
      </w:r>
      <w:r>
        <w:rPr>
          <w:i/>
          <w:iCs/>
        </w:rPr>
        <w:t xml:space="preserve">Overview of the ASEAN-6 Automotive Market</w:t>
      </w:r>
      <w:r>
        <w:t xml:space="preserve"> </w:t>
      </w:r>
      <w:r>
        <w:t xml:space="preserve">(2025): installed base and growth-potential comparison across Indonesia, Malaysia, Thailand, Philippines, Viet Nam, and Singapore.</w:t>
      </w:r>
      <w:r>
        <w:t xml:space="preserve"> </w:t>
      </w:r>
      <w:hyperlink r:id="rId47">
        <w:r>
          <w:rPr>
            <w:rStyle w:val="Hyperlink"/>
          </w:rPr>
          <w:t xml:space="preserve">[38]</w:t>
        </w:r>
      </w:hyperlink>
    </w:p>
    <w:p>
      <w:pPr>
        <w:numPr>
          <w:ilvl w:val="0"/>
          <w:numId w:val="1001"/>
        </w:numPr>
      </w:pPr>
      <w:r>
        <w:t xml:space="preserve">World Bank Philippines transport background paper:</w:t>
      </w:r>
      <w:r>
        <w:t xml:space="preserve"> </w:t>
      </w:r>
      <w:r>
        <w:rPr>
          <w:b/>
          <w:bCs/>
        </w:rPr>
        <w:t xml:space="preserve">672.9 total vehicles per 1,000 people</w:t>
      </w:r>
      <w:r>
        <w:t xml:space="preserve"> </w:t>
      </w:r>
      <w:r>
        <w:t xml:space="preserve">by 2050 but only</w:t>
      </w:r>
      <w:r>
        <w:t xml:space="preserve"> </w:t>
      </w:r>
      <w:r>
        <w:rPr>
          <w:b/>
          <w:bCs/>
        </w:rPr>
        <w:t xml:space="preserve">173 LDVs per 1,000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[39]</w:t>
        </w:r>
      </w:hyperlink>
    </w:p>
    <w:p>
      <w:pPr>
        <w:numPr>
          <w:ilvl w:val="0"/>
          <w:numId w:val="1001"/>
        </w:numPr>
      </w:pPr>
      <w:r>
        <w:t xml:space="preserve">World Bank Viet Nam e-mobility roadmap:</w:t>
      </w:r>
      <w:r>
        <w:t xml:space="preserve"> </w:t>
      </w:r>
      <w:r>
        <w:rPr>
          <w:b/>
          <w:bCs/>
        </w:rPr>
        <w:t xml:space="preserve">22 active PCs per 1,000</w:t>
      </w:r>
      <w:r>
        <w:t xml:space="preserve"> </w:t>
      </w:r>
      <w:r>
        <w:t xml:space="preserve">in 2022;</w:t>
      </w:r>
      <w:r>
        <w:t xml:space="preserve"> </w:t>
      </w:r>
      <w:r>
        <w:rPr>
          <w:b/>
          <w:bCs/>
        </w:rPr>
        <w:t xml:space="preserve">312 active PCs per 1,000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66.3 million registered PCs</w:t>
      </w:r>
      <w:r>
        <w:t xml:space="preserve"> </w:t>
      </w:r>
      <w:r>
        <w:t xml:space="preserve">by 2050.</w:t>
      </w:r>
      <w:r>
        <w:t xml:space="preserve"> </w:t>
      </w:r>
      <w:hyperlink r:id="rId48">
        <w:r>
          <w:rPr>
            <w:rStyle w:val="Hyperlink"/>
          </w:rPr>
          <w:t xml:space="preserve">[40]</w:t>
        </w:r>
      </w:hyperlink>
    </w:p>
    <w:p>
      <w:pPr>
        <w:numPr>
          <w:ilvl w:val="0"/>
          <w:numId w:val="1001"/>
        </w:numPr>
      </w:pPr>
      <w:r>
        <w:t xml:space="preserve">China evidence bundle: World Bank blog on China’s motorisation headroom; CEIC current private-vehicle stock; and Wu et al. on China’s Gompertz vehicle-ownership projection through 2050.</w:t>
      </w:r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</w:p>
    <w:p>
      <w:pPr>
        <w:numPr>
          <w:ilvl w:val="0"/>
          <w:numId w:val="1001"/>
        </w:numPr>
      </w:pPr>
      <w:r>
        <w:t xml:space="preserve">Hirota,</w:t>
      </w:r>
      <w:r>
        <w:t xml:space="preserve"> </w:t>
      </w:r>
      <w:r>
        <w:rPr>
          <w:i/>
          <w:iCs/>
        </w:rPr>
        <w:t xml:space="preserve">Passenger Car Ownership Estimation toward 2030 in Japan</w:t>
      </w:r>
      <w:r>
        <w:t xml:space="preserve">: BAU estimate of</w:t>
      </w:r>
      <w:r>
        <w:t xml:space="preserve"> </w:t>
      </w:r>
      <w:r>
        <w:rPr>
          <w:b/>
          <w:bCs/>
        </w:rPr>
        <w:t xml:space="preserve">61.59 million passenger vehicles in 2030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[41]</w:t>
        </w:r>
      </w:hyperlink>
    </w:p>
    <w:p>
      <w:pPr>
        <w:numPr>
          <w:ilvl w:val="0"/>
          <w:numId w:val="1001"/>
        </w:numPr>
      </w:pPr>
      <w:r>
        <w:t xml:space="preserve">Russia Autostat:</w:t>
      </w:r>
      <w:r>
        <w:t xml:space="preserve"> </w:t>
      </w:r>
      <w:r>
        <w:rPr>
          <w:b/>
          <w:bCs/>
        </w:rPr>
        <w:t xml:space="preserve">322 passenger cars per 1,000 inhabitants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46.36 million passenger cars</w:t>
      </w:r>
      <w:r>
        <w:t xml:space="preserve"> </w:t>
      </w:r>
      <w:r>
        <w:t xml:space="preserve">as of 1 January 2024.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numPr>
          <w:ilvl w:val="0"/>
          <w:numId w:val="1001"/>
        </w:numPr>
      </w:pPr>
      <w:r>
        <w:t xml:space="preserve">Peru evidence bundle:</w:t>
      </w:r>
      <w:r>
        <w:t xml:space="preserve"> </w:t>
      </w:r>
      <w:r>
        <w:rPr>
          <w:b/>
          <w:bCs/>
        </w:rPr>
        <w:t xml:space="preserve">50.6 passenger cars per 1,000 people</w:t>
      </w:r>
      <w:r>
        <w:t xml:space="preserve"> </w:t>
      </w:r>
      <w:r>
        <w:t xml:space="preserve">in 2019 and urban travel still heavily public-transport-based.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p>
      <w:pPr>
        <w:numPr>
          <w:ilvl w:val="0"/>
          <w:numId w:val="1001"/>
        </w:numPr>
      </w:pPr>
      <w:r>
        <w:t xml:space="preserve">World Bank WDI metadata definitions for</w:t>
      </w:r>
      <w:r>
        <w:t xml:space="preserve"> </w:t>
      </w:r>
      <w:r>
        <w:rPr>
          <w:b/>
          <w:bCs/>
        </w:rPr>
        <w:t xml:space="preserve">passenger cars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motor vehicles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</w:p>
    <w:bookmarkEnd w:id="50"/>
    <w:bookmarkEnd w:id="51"/>
    <w:bookmarkEnd w:id="52"/>
    <w:p>
      <w:r>
        <w:pict>
          <v:rect style="width:0;height:1.5pt" o:hralign="center" o:hrstd="t" o:hr="t"/>
        </w:pict>
      </w:r>
    </w:p>
    <w:bookmarkStart w:id="5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https://databank.worldbank.org/metadataglossary/world-development-indicators/series/IS.VEH.PCAR.P3</w:t>
      </w:r>
    </w:p>
    <w:p>
      <w:pPr>
        <w:pStyle w:val="BodyText"/>
      </w:pPr>
      <w:hyperlink r:id="rId21">
        <w:r>
          <w:rPr>
            <w:rStyle w:val="Hyperlink"/>
          </w:rPr>
          <w:t xml:space="preserve">https://databank.worldbank.org/metadataglossary/world-development-indicators/series/IS.VEH.PCAR.P3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hyperlink r:id="rId22">
        <w:r>
          <w:rPr>
            <w:rStyle w:val="Hyperlink"/>
          </w:rPr>
          <w:t xml:space="preserve">[24]</w:t>
        </w:r>
      </w:hyperlink>
      <w:r>
        <w:t xml:space="preserve"> </w:t>
      </w:r>
      <w:hyperlink r:id="rId22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https://www.kth.se/social/upload/52a4c976f276547043781cfb/Dargay%20Gately%202001.pdf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https://www.kth.se/social/upload/52a4c976f276547043781cfb/Dargay%20Gately%202001.pdf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https://asiantransportobservatory.org/documents/305/3_Brunei_Darussalam_aichi-r2.pdf</w:t>
      </w:r>
    </w:p>
    <w:p>
      <w:pPr>
        <w:pStyle w:val="BodyText"/>
      </w:pPr>
      <w:hyperlink r:id="rId24">
        <w:r>
          <w:rPr>
            <w:rStyle w:val="Hyperlink"/>
          </w:rPr>
          <w:t xml:space="preserve">https://asiantransportobservatory.org/documents/305/3_Brunei_Darussalam_aichi-r2.pdf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[25]</w:t>
        </w:r>
      </w:hyperlink>
      <w:r>
        <w:t xml:space="preserve"> </w:t>
      </w:r>
      <w:hyperlink r:id="rId2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https://openknowledge.worldbank.org/bitstreams/4cb8891e-bccf-4e79-bb9a-316873ce264e/download</w:t>
      </w:r>
    </w:p>
    <w:p>
      <w:pPr>
        <w:pStyle w:val="BodyText"/>
      </w:pPr>
      <w:hyperlink r:id="rId25">
        <w:r>
          <w:rPr>
            <w:rStyle w:val="Hyperlink"/>
          </w:rPr>
          <w:t xml:space="preserve">https://openknowledge.worldbank.org/bitstreams/4cb8891e-bccf-4e79-bb9a-316873ce264e/download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[12]</w:t>
        </w:r>
      </w:hyperlink>
      <w:r>
        <w:t xml:space="preserve"> </w:t>
      </w:r>
      <w:hyperlink r:id="rId26">
        <w:r>
          <w:rPr>
            <w:rStyle w:val="Hyperlink"/>
          </w:rPr>
          <w:t xml:space="preserve">[26]</w:t>
        </w:r>
      </w:hyperlink>
      <w:r>
        <w:t xml:space="preserve"> </w:t>
      </w:r>
      <w:hyperlink r:id="rId26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https://www.td.gov.hk/en/publications_and_press_releases/publications/free_publications/fact_sheet_on_transport/index.html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https://www.td.gov.hk/en/publications_and_press_releases/publications/free_publications/fact_sheet_on_transport/index.html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https://www150.statcan.gc.ca/n1/daily-quotidien/251017/dq251017c-eng.pdf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https://www150.statcan.gc.ca/n1/daily-quotidien/251017/dq251017c-eng.pdf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https://www.imf.org/-/media/websites/imf/imported-flagship-issues/external/pubs/ft/weo/2005/01/chp4pdf/_fig47pdf.pdf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https://www.imf.org/-/media/websites/imf/imported-flagship-issues/external/pubs/ft/weo/2005/01/chp4pdf/_fig47pdf.pdf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https://blogs.worldbank.org/en/transport/500-million-vehicle-question-what-will-it-take-china-decarbonize-transport</w:t>
      </w:r>
    </w:p>
    <w:p>
      <w:pPr>
        <w:pStyle w:val="BodyText"/>
      </w:pPr>
      <w:hyperlink r:id="rId30">
        <w:r>
          <w:rPr>
            <w:rStyle w:val="Hyperlink"/>
          </w:rPr>
          <w:t xml:space="preserve">https://blogs.worldbank.org/en/transport/500-million-vehicle-question-what-will-it-take-china-decarbonize-transport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https://asiantransportobservatory.org/documents/307/5_Indonesia_aichi-r2.pdf</w:t>
      </w:r>
    </w:p>
    <w:p>
      <w:pPr>
        <w:pStyle w:val="BodyText"/>
      </w:pPr>
      <w:hyperlink r:id="rId31">
        <w:r>
          <w:rPr>
            <w:rStyle w:val="Hyperlink"/>
          </w:rPr>
          <w:t xml:space="preserve">https://asiantransportobservatory.org/documents/307/5_Indonesia_aichi-r2.pdf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Transport Outlook - International Transport Forum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https://www.itf-oecd.org/sites/default/files/docs/12outlook.pdf?utm_source=chatgpt.com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hyperlink r:id="rId3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https://asiantransportobservatory.org/analytical-outputs/aichiprofiles/malaysia-aichi-profile/</w:t>
      </w:r>
    </w:p>
    <w:p>
      <w:pPr>
        <w:pStyle w:val="BodyText"/>
      </w:pPr>
      <w:hyperlink r:id="rId33">
        <w:r>
          <w:rPr>
            <w:rStyle w:val="Hyperlink"/>
          </w:rPr>
          <w:t xml:space="preserve">https://asiantransportobservatory.org/analytical-outputs/aichiprofiles/malaysia-aichi-profile/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https://www.econstats.com/wdi/wdiv_589.htm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https://www.econstats.com/wdi/wdiv_589.htm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https://www.helgilibrary.com/indicators/passenger-cars-per-1000-people/peru/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https://www.helgilibrary.com/indicators/passenger-cars-per-1000-people/peru/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https://asiantransportobservatory.org/analytical-outputs/aichiprofiles/philippines-aichi-profile/</w:t>
      </w:r>
    </w:p>
    <w:p>
      <w:pPr>
        <w:pStyle w:val="BodyText"/>
      </w:pPr>
      <w:hyperlink r:id="rId36">
        <w:r>
          <w:rPr>
            <w:rStyle w:val="Hyperlink"/>
          </w:rPr>
          <w:t xml:space="preserve">https://asiantransportobservatory.org/analytical-outputs/aichiprofiles/philippines-aichi-profile/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https://m.eng.autostat.ru/infographics/24699/</w:t>
      </w:r>
    </w:p>
    <w:p>
      <w:pPr>
        <w:pStyle w:val="BodyText"/>
      </w:pPr>
      <w:hyperlink r:id="rId37">
        <w:r>
          <w:rPr>
            <w:rStyle w:val="Hyperlink"/>
          </w:rPr>
          <w:t xml:space="preserve">https://m.eng.autostat.ru/infographics/24699/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https://asiantransportobservatory.org/documents/298/14_Singapore_aichi-r2.pdf</w:t>
      </w:r>
    </w:p>
    <w:p>
      <w:pPr>
        <w:pStyle w:val="BodyText"/>
      </w:pPr>
      <w:hyperlink r:id="rId38">
        <w:r>
          <w:rPr>
            <w:rStyle w:val="Hyperlink"/>
          </w:rPr>
          <w:t xml:space="preserve">https://asiantransportobservatory.org/documents/298/14_Singapore_aichi-r2.pdf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https://asiantransportobservatory.org/documents/300/16_Thailand_aichi-r2.pdf</w:t>
      </w:r>
    </w:p>
    <w:p>
      <w:pPr>
        <w:pStyle w:val="BodyText"/>
      </w:pPr>
      <w:hyperlink r:id="rId39">
        <w:r>
          <w:rPr>
            <w:rStyle w:val="Hyperlink"/>
          </w:rPr>
          <w:t xml:space="preserve">https://asiantransportobservatory.org/documents/300/16_Thailand_aichi-r2.pdf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https://asiantransportobservatory.org/documents/302/18_Viet_Nam_aichi-r2.pdf</w:t>
      </w:r>
    </w:p>
    <w:p>
      <w:pPr>
        <w:pStyle w:val="BodyText"/>
      </w:pPr>
      <w:hyperlink r:id="rId40">
        <w:r>
          <w:rPr>
            <w:rStyle w:val="Hyperlink"/>
          </w:rPr>
          <w:t xml:space="preserve">https://asiantransportobservatory.org/documents/302/18_Viet_Nam_aichi-r2.pdf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https://www.bitre.gov.au/sites/default/files/documents/bitre-road-vehicles-australia--january2024.pdf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https://www.bitre.gov.au/sites/default/files/documents/bitre-road-vehicles-australia--january2024.pdf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https://faculty.fiu.edu/~revellk/pad3800/Cullinane.pdf</w:t>
      </w:r>
    </w:p>
    <w:p>
      <w:pPr>
        <w:pStyle w:val="BodyText"/>
      </w:pPr>
      <w:hyperlink r:id="rId45">
        <w:r>
          <w:rPr>
            <w:rStyle w:val="Hyperlink"/>
          </w:rPr>
          <w:t xml:space="preserve">https://faculty.fiu.edu/~revellk/pad3800/Cullinane.pdf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https://www.mot.gov.sg/what-we-do/motoring-road-network-and-infrastructure/vehicle-ownership/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https://www.mot.gov.sg/what-we-do/motoring-road-network-and-infrastructure/vehicle-ownership/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https://www.pwc.com/vn/en/publications/2025/asean-automative-market.pdf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https://www.pwc.com/vn/en/publications/2025/asean-automative-market.pdf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https://documents1.worldbank.org/curated/en/099102224045529146/pdf/P181165-2a364cf7-75e9-4faa-b15c-f6ff0709730f.pdf</w:t>
      </w:r>
    </w:p>
    <w:p>
      <w:pPr>
        <w:pStyle w:val="BodyText"/>
      </w:pPr>
      <w:hyperlink r:id="rId48">
        <w:r>
          <w:rPr>
            <w:rStyle w:val="Hyperlink"/>
          </w:rPr>
          <w:t xml:space="preserve">https://documents1.worldbank.org/curated/en/099102224045529146/pdf/P181165-2a364cf7-75e9-4faa-b15c-f6ff0709730f.pdf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https://mpra.ub.uni-muenchen.de/15139/2/MPRA_paper_15139.pdf</w:t>
      </w:r>
    </w:p>
    <w:p>
      <w:pPr>
        <w:pStyle w:val="BodyText"/>
      </w:pPr>
      <w:hyperlink r:id="rId49">
        <w:r>
          <w:rPr>
            <w:rStyle w:val="Hyperlink"/>
          </w:rPr>
          <w:t xml:space="preserve">https://mpra.ub.uni-muenchen.de/15139/2/MPRA_paper_15139.pdf</w:t>
        </w:r>
      </w:hyperlink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asiantransportobservatory.org/analytical-outputs/aichiprofiles/malaysia-aichi-profile/" TargetMode="External" /><Relationship Type="http://schemas.openxmlformats.org/officeDocument/2006/relationships/hyperlink" Id="rId36" Target="https://asiantransportobservatory.org/analytical-outputs/aichiprofiles/philippines-aichi-profile/" TargetMode="External" /><Relationship Type="http://schemas.openxmlformats.org/officeDocument/2006/relationships/hyperlink" Id="rId38" Target="https://asiantransportobservatory.org/documents/298/14_Singapore_aichi-r2.pdf" TargetMode="External" /><Relationship Type="http://schemas.openxmlformats.org/officeDocument/2006/relationships/hyperlink" Id="rId39" Target="https://asiantransportobservatory.org/documents/300/16_Thailand_aichi-r2.pdf" TargetMode="External" /><Relationship Type="http://schemas.openxmlformats.org/officeDocument/2006/relationships/hyperlink" Id="rId40" Target="https://asiantransportobservatory.org/documents/302/18_Viet_Nam_aichi-r2.pdf" TargetMode="External" /><Relationship Type="http://schemas.openxmlformats.org/officeDocument/2006/relationships/hyperlink" Id="rId24" Target="https://asiantransportobservatory.org/documents/305/3_Brunei_Darussalam_aichi-r2.pdf" TargetMode="External" /><Relationship Type="http://schemas.openxmlformats.org/officeDocument/2006/relationships/hyperlink" Id="rId31" Target="https://asiantransportobservatory.org/documents/307/5_Indonesia_aichi-r2.pdf" TargetMode="External" /><Relationship Type="http://schemas.openxmlformats.org/officeDocument/2006/relationships/hyperlink" Id="rId30" Target="https://blogs.worldbank.org/en/transport/500-million-vehicle-question-what-will-it-take-china-decarbonize-transport" TargetMode="External" /><Relationship Type="http://schemas.openxmlformats.org/officeDocument/2006/relationships/hyperlink" Id="rId21" Target="https://databank.worldbank.org/metadataglossary/world-development-indicators/series/IS.VEH.PCAR.P3" TargetMode="External" /><Relationship Type="http://schemas.openxmlformats.org/officeDocument/2006/relationships/hyperlink" Id="rId48" Target="https://documents1.worldbank.org/curated/en/099102224045529146/pdf/P181165-2a364cf7-75e9-4faa-b15c-f6ff0709730f.pdf" TargetMode="External" /><Relationship Type="http://schemas.openxmlformats.org/officeDocument/2006/relationships/hyperlink" Id="rId45" Target="https://faculty.fiu.edu/~revellk/pad3800/Cullinane.pdf" TargetMode="External" /><Relationship Type="http://schemas.openxmlformats.org/officeDocument/2006/relationships/hyperlink" Id="rId37" Target="https://m.eng.autostat.ru/infographics/24699/" TargetMode="External" /><Relationship Type="http://schemas.openxmlformats.org/officeDocument/2006/relationships/hyperlink" Id="rId49" Target="https://mpra.ub.uni-muenchen.de/15139/2/MPRA_paper_15139.pdf" TargetMode="External" /><Relationship Type="http://schemas.openxmlformats.org/officeDocument/2006/relationships/hyperlink" Id="rId25" Target="https://openknowledge.worldbank.org/bitstreams/4cb8891e-bccf-4e79-bb9a-316873ce264e/download" TargetMode="External" /><Relationship Type="http://schemas.openxmlformats.org/officeDocument/2006/relationships/hyperlink" Id="rId44" Target="https://www.bitre.gov.au/sites/default/files/documents/bitre-road-vehicles-australia--january2024.pdf" TargetMode="External" /><Relationship Type="http://schemas.openxmlformats.org/officeDocument/2006/relationships/hyperlink" Id="rId34" Target="https://www.econstats.com/wdi/wdiv_589.htm" TargetMode="External" /><Relationship Type="http://schemas.openxmlformats.org/officeDocument/2006/relationships/hyperlink" Id="rId35" Target="https://www.helgilibrary.com/indicators/passenger-cars-per-1000-people/peru/" TargetMode="External" /><Relationship Type="http://schemas.openxmlformats.org/officeDocument/2006/relationships/hyperlink" Id="rId29" Target="https://www.imf.org/-/media/websites/imf/imported-flagship-issues/external/pubs/ft/weo/2005/01/chp4pdf/_fig47pdf.pdf" TargetMode="External" /><Relationship Type="http://schemas.openxmlformats.org/officeDocument/2006/relationships/hyperlink" Id="rId32" Target="https://www.itf-oecd.org/sites/default/files/docs/12outlook.pdf?utm_source=chatgpt.com" TargetMode="External" /><Relationship Type="http://schemas.openxmlformats.org/officeDocument/2006/relationships/hyperlink" Id="rId22" Target="https://www.kth.se/social/upload/52a4c976f276547043781cfb/Dargay%20Gately%202001.pdf" TargetMode="External" /><Relationship Type="http://schemas.openxmlformats.org/officeDocument/2006/relationships/hyperlink" Id="rId46" Target="https://www.mot.gov.sg/what-we-do/motoring-road-network-and-infrastructure/vehicle-ownership/" TargetMode="External" /><Relationship Type="http://schemas.openxmlformats.org/officeDocument/2006/relationships/hyperlink" Id="rId47" Target="https://www.pwc.com/vn/en/publications/2025/asean-automative-market.pdf" TargetMode="External" /><Relationship Type="http://schemas.openxmlformats.org/officeDocument/2006/relationships/hyperlink" Id="rId26" Target="https://www.td.gov.hk/en/publications_and_press_releases/publications/free_publications/fact_sheet_on_transport/index.html" TargetMode="External" /><Relationship Type="http://schemas.openxmlformats.org/officeDocument/2006/relationships/hyperlink" Id="rId28" Target="https://www150.statcan.gc.ca/n1/daily-quotidien/251017/dq251017c-en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asiantransportobservatory.org/analytical-outputs/aichiprofiles/malaysia-aichi-profile/" TargetMode="External" /><Relationship Type="http://schemas.openxmlformats.org/officeDocument/2006/relationships/hyperlink" Id="rId36" Target="https://asiantransportobservatory.org/analytical-outputs/aichiprofiles/philippines-aichi-profile/" TargetMode="External" /><Relationship Type="http://schemas.openxmlformats.org/officeDocument/2006/relationships/hyperlink" Id="rId38" Target="https://asiantransportobservatory.org/documents/298/14_Singapore_aichi-r2.pdf" TargetMode="External" /><Relationship Type="http://schemas.openxmlformats.org/officeDocument/2006/relationships/hyperlink" Id="rId39" Target="https://asiantransportobservatory.org/documents/300/16_Thailand_aichi-r2.pdf" TargetMode="External" /><Relationship Type="http://schemas.openxmlformats.org/officeDocument/2006/relationships/hyperlink" Id="rId40" Target="https://asiantransportobservatory.org/documents/302/18_Viet_Nam_aichi-r2.pdf" TargetMode="External" /><Relationship Type="http://schemas.openxmlformats.org/officeDocument/2006/relationships/hyperlink" Id="rId24" Target="https://asiantransportobservatory.org/documents/305/3_Brunei_Darussalam_aichi-r2.pdf" TargetMode="External" /><Relationship Type="http://schemas.openxmlformats.org/officeDocument/2006/relationships/hyperlink" Id="rId31" Target="https://asiantransportobservatory.org/documents/307/5_Indonesia_aichi-r2.pdf" TargetMode="External" /><Relationship Type="http://schemas.openxmlformats.org/officeDocument/2006/relationships/hyperlink" Id="rId30" Target="https://blogs.worldbank.org/en/transport/500-million-vehicle-question-what-will-it-take-china-decarbonize-transport" TargetMode="External" /><Relationship Type="http://schemas.openxmlformats.org/officeDocument/2006/relationships/hyperlink" Id="rId21" Target="https://databank.worldbank.org/metadataglossary/world-development-indicators/series/IS.VEH.PCAR.P3" TargetMode="External" /><Relationship Type="http://schemas.openxmlformats.org/officeDocument/2006/relationships/hyperlink" Id="rId48" Target="https://documents1.worldbank.org/curated/en/099102224045529146/pdf/P181165-2a364cf7-75e9-4faa-b15c-f6ff0709730f.pdf" TargetMode="External" /><Relationship Type="http://schemas.openxmlformats.org/officeDocument/2006/relationships/hyperlink" Id="rId45" Target="https://faculty.fiu.edu/~revellk/pad3800/Cullinane.pdf" TargetMode="External" /><Relationship Type="http://schemas.openxmlformats.org/officeDocument/2006/relationships/hyperlink" Id="rId37" Target="https://m.eng.autostat.ru/infographics/24699/" TargetMode="External" /><Relationship Type="http://schemas.openxmlformats.org/officeDocument/2006/relationships/hyperlink" Id="rId49" Target="https://mpra.ub.uni-muenchen.de/15139/2/MPRA_paper_15139.pdf" TargetMode="External" /><Relationship Type="http://schemas.openxmlformats.org/officeDocument/2006/relationships/hyperlink" Id="rId25" Target="https://openknowledge.worldbank.org/bitstreams/4cb8891e-bccf-4e79-bb9a-316873ce264e/download" TargetMode="External" /><Relationship Type="http://schemas.openxmlformats.org/officeDocument/2006/relationships/hyperlink" Id="rId44" Target="https://www.bitre.gov.au/sites/default/files/documents/bitre-road-vehicles-australia--january2024.pdf" TargetMode="External" /><Relationship Type="http://schemas.openxmlformats.org/officeDocument/2006/relationships/hyperlink" Id="rId34" Target="https://www.econstats.com/wdi/wdiv_589.htm" TargetMode="External" /><Relationship Type="http://schemas.openxmlformats.org/officeDocument/2006/relationships/hyperlink" Id="rId35" Target="https://www.helgilibrary.com/indicators/passenger-cars-per-1000-people/peru/" TargetMode="External" /><Relationship Type="http://schemas.openxmlformats.org/officeDocument/2006/relationships/hyperlink" Id="rId29" Target="https://www.imf.org/-/media/websites/imf/imported-flagship-issues/external/pubs/ft/weo/2005/01/chp4pdf/_fig47pdf.pdf" TargetMode="External" /><Relationship Type="http://schemas.openxmlformats.org/officeDocument/2006/relationships/hyperlink" Id="rId32" Target="https://www.itf-oecd.org/sites/default/files/docs/12outlook.pdf?utm_source=chatgpt.com" TargetMode="External" /><Relationship Type="http://schemas.openxmlformats.org/officeDocument/2006/relationships/hyperlink" Id="rId22" Target="https://www.kth.se/social/upload/52a4c976f276547043781cfb/Dargay%20Gately%202001.pdf" TargetMode="External" /><Relationship Type="http://schemas.openxmlformats.org/officeDocument/2006/relationships/hyperlink" Id="rId46" Target="https://www.mot.gov.sg/what-we-do/motoring-road-network-and-infrastructure/vehicle-ownership/" TargetMode="External" /><Relationship Type="http://schemas.openxmlformats.org/officeDocument/2006/relationships/hyperlink" Id="rId47" Target="https://www.pwc.com/vn/en/publications/2025/asean-automative-market.pdf" TargetMode="External" /><Relationship Type="http://schemas.openxmlformats.org/officeDocument/2006/relationships/hyperlink" Id="rId26" Target="https://www.td.gov.hk/en/publications_and_press_releases/publications/free_publications/fact_sheet_on_transport/index.html" TargetMode="External" /><Relationship Type="http://schemas.openxmlformats.org/officeDocument/2006/relationships/hyperlink" Id="rId28" Target="https://www150.statcan.gc.ca/n1/daily-quotidien/251017/dq251017c-en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2026-05-27T01:07:13Z</dcterms:created>
  <dcterms:modified xsi:type="dcterms:W3CDTF">2026-05-27T01:07:13Z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