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7DCC" w14:textId="2FC297DB" w:rsidR="00CC2784" w:rsidRPr="00CC2784" w:rsidRDefault="00000000" w:rsidP="0059413B">
      <w:pPr>
        <w:pStyle w:val="Heading1"/>
      </w:pPr>
      <w:bookmarkStart w:id="0" w:name="header"/>
      <w:bookmarkStart w:id="1" w:name="X15d1f6aacec8972a031fb7effd753c1e7cbb32e"/>
      <w:bookmarkStart w:id="2" w:name="content"/>
      <w:bookmarkEnd w:id="0"/>
      <w:r>
        <w:t>Estimating PHEV electric-mode utilisation across APEC economies</w:t>
      </w:r>
    </w:p>
    <w:p w14:paraId="052128E4" w14:textId="77777777" w:rsidR="0075685C" w:rsidRDefault="00000000">
      <w:pPr>
        <w:pStyle w:val="Heading2"/>
      </w:pPr>
      <w:bookmarkStart w:id="3" w:name="executive-summary"/>
      <w:r>
        <w:t>Executive summary</w:t>
      </w:r>
    </w:p>
    <w:p w14:paraId="642A543F" w14:textId="77777777" w:rsidR="0075685C" w:rsidRDefault="00000000">
      <w:pPr>
        <w:pStyle w:val="FirstParagraph"/>
      </w:pPr>
      <w:r>
        <w:t xml:space="preserve">This report estimates the </w:t>
      </w:r>
      <w:r>
        <w:rPr>
          <w:b/>
          <w:bCs/>
        </w:rPr>
        <w:t>most likely real-world plug-in hybrid electric vehicle utilisation rate</w:t>
      </w:r>
      <w:r>
        <w:t xml:space="preserve"> for each of the 21 APEC economies, interpreted as the </w:t>
      </w:r>
      <w:r>
        <w:rPr>
          <w:b/>
          <w:bCs/>
        </w:rPr>
        <w:t>share of total light-duty PHEV vehicle-kilometres travelled in electric mode</w:t>
      </w:r>
      <w:r>
        <w:t xml:space="preserve"> rather than the laboratory utility factor used in certification. The strongest empirical anchors come from large real-world studies: in Europe, average electric driving share is about </w:t>
      </w:r>
      <w:r>
        <w:rPr>
          <w:b/>
          <w:bCs/>
        </w:rPr>
        <w:t>45%–49% for private PHEVs</w:t>
      </w:r>
      <w:r>
        <w:t xml:space="preserve"> and only </w:t>
      </w:r>
      <w:r>
        <w:rPr>
          <w:b/>
          <w:bCs/>
        </w:rPr>
        <w:t>11%–15% for company cars</w:t>
      </w:r>
      <w:r>
        <w:t xml:space="preserve">; in the United States, real-world electric drive share is </w:t>
      </w:r>
      <w:r>
        <w:rPr>
          <w:b/>
          <w:bCs/>
        </w:rPr>
        <w:t>31%–44% below</w:t>
      </w:r>
      <w:r>
        <w:t xml:space="preserve"> EPA label assumptions; in Chinese cities, actual sales-weighted utility factor is about </w:t>
      </w:r>
      <w:r>
        <w:rPr>
          <w:b/>
          <w:bCs/>
        </w:rPr>
        <w:t>0.53 for 50 km AER PHEVs</w:t>
      </w:r>
      <w:r>
        <w:t xml:space="preserve"> and </w:t>
      </w:r>
      <w:r>
        <w:rPr>
          <w:b/>
          <w:bCs/>
        </w:rPr>
        <w:t>0.68 for 80 km AER PHEVs</w:t>
      </w:r>
      <w:r>
        <w:t xml:space="preserve">; and a simulation study finds that a 15 kWh PHEV charged </w:t>
      </w:r>
      <w:r>
        <w:rPr>
          <w:b/>
          <w:bCs/>
        </w:rPr>
        <w:t>daily</w:t>
      </w:r>
      <w:r>
        <w:t xml:space="preserve"> can reach a </w:t>
      </w:r>
      <w:r>
        <w:rPr>
          <w:b/>
          <w:bCs/>
        </w:rPr>
        <w:t>77%</w:t>
      </w:r>
      <w:r>
        <w:t xml:space="preserve"> utility factor, versus </w:t>
      </w:r>
      <w:r>
        <w:rPr>
          <w:b/>
          <w:bCs/>
        </w:rPr>
        <w:t>48%</w:t>
      </w:r>
      <w:r>
        <w:t xml:space="preserve"> if charged every three days. These findings all point in the same direction: </w:t>
      </w:r>
      <w:r>
        <w:rPr>
          <w:b/>
          <w:bCs/>
        </w:rPr>
        <w:t>charging opportunity and charging behaviour dominate real-world electric VKT</w:t>
      </w:r>
      <w:r>
        <w:t xml:space="preserve">. </w:t>
      </w:r>
      <w:hyperlink r:id="rId5">
        <w:r>
          <w:rPr>
            <w:rStyle w:val="Hyperlink"/>
          </w:rPr>
          <w:t>[1]</w:t>
        </w:r>
      </w:hyperlink>
    </w:p>
    <w:p w14:paraId="46EECF2D" w14:textId="77777777" w:rsidR="0075685C" w:rsidRDefault="00000000">
      <w:pPr>
        <w:pStyle w:val="BodyText"/>
      </w:pPr>
      <w:r>
        <w:t xml:space="preserve">Across APEC, my central estimates range from </w:t>
      </w:r>
      <w:r>
        <w:rPr>
          <w:b/>
          <w:bCs/>
        </w:rPr>
        <w:t>8% in Papua New Guinea</w:t>
      </w:r>
      <w:r>
        <w:t xml:space="preserve"> to </w:t>
      </w:r>
      <w:r>
        <w:rPr>
          <w:b/>
          <w:bCs/>
        </w:rPr>
        <w:t>64% in China</w:t>
      </w:r>
      <w:r>
        <w:t xml:space="preserve">, with a </w:t>
      </w:r>
      <w:r>
        <w:rPr>
          <w:b/>
          <w:bCs/>
        </w:rPr>
        <w:t>median of 42%</w:t>
      </w:r>
      <w:r>
        <w:t xml:space="preserve">. The highest estimated electric-mode shares are in </w:t>
      </w:r>
      <w:r>
        <w:rPr>
          <w:b/>
          <w:bCs/>
        </w:rPr>
        <w:t>China, Singapore, Hong Kong, China, Korea, Australia, New Zealand, and Chinese Taipei</w:t>
      </w:r>
      <w:r>
        <w:t xml:space="preserve">, where dense urban travel, better charging access, or longer-range PHEV model mixes support frequent electric driving. The lowest estimates are in </w:t>
      </w:r>
      <w:r>
        <w:rPr>
          <w:b/>
          <w:bCs/>
        </w:rPr>
        <w:t>Papua New Guinea</w:t>
      </w:r>
      <w:r>
        <w:t xml:space="preserve"> and </w:t>
      </w:r>
      <w:r>
        <w:rPr>
          <w:b/>
          <w:bCs/>
        </w:rPr>
        <w:t>Russia</w:t>
      </w:r>
      <w:r>
        <w:t xml:space="preserve">, where the evidence base is thin and the practical enabling conditions for charging are much weaker. </w:t>
      </w:r>
      <w:hyperlink r:id="rId6">
        <w:r>
          <w:rPr>
            <w:rStyle w:val="Hyperlink"/>
          </w:rPr>
          <w:t>[2]</w:t>
        </w:r>
      </w:hyperlink>
    </w:p>
    <w:p w14:paraId="528EC677" w14:textId="77777777" w:rsidR="0075685C" w:rsidRDefault="00000000">
      <w:pPr>
        <w:pStyle w:val="BodyText"/>
      </w:pPr>
      <w:r>
        <w:t xml:space="preserve">A major result of the review is that </w:t>
      </w:r>
      <w:r>
        <w:rPr>
          <w:b/>
          <w:bCs/>
        </w:rPr>
        <w:t>APEC does not have a uniform data problem; it has several different ones</w:t>
      </w:r>
      <w:r>
        <w:t xml:space="preserve">. China and the United States already have direct utility-factor or telematics evidence. Canada, Japan, Singapore, New Zealand, and Korea have enough official fleet, charging, and market data to support relatively tight proxy estimates. By contrast, </w:t>
      </w:r>
      <w:r>
        <w:rPr>
          <w:b/>
          <w:bCs/>
        </w:rPr>
        <w:t>Brunei Darussalam, Papua New Guinea, Russia, and—though less severely—Chinese Taipei</w:t>
      </w:r>
      <w:r>
        <w:t xml:space="preserve"> lack robust recent English-language PHEV-specific utilisation evidence, so those values should be read as </w:t>
      </w:r>
      <w:r>
        <w:rPr>
          <w:b/>
          <w:bCs/>
        </w:rPr>
        <w:t>structured proxies</w:t>
      </w:r>
      <w:r>
        <w:t xml:space="preserve"> rather than measured outcomes. </w:t>
      </w:r>
      <w:hyperlink r:id="rId7">
        <w:r>
          <w:rPr>
            <w:rStyle w:val="Hyperlink"/>
          </w:rPr>
          <w:t>[3]</w:t>
        </w:r>
      </w:hyperlink>
    </w:p>
    <w:p w14:paraId="4A60AA42" w14:textId="77777777" w:rsidR="0075685C" w:rsidRDefault="00000000">
      <w:pPr>
        <w:pStyle w:val="BodyText"/>
      </w:pPr>
      <w:r>
        <w:t xml:space="preserve">I use current official APEC economy abbreviations and apply the ordinal project-code prefixes requested by you, yielding codes such as </w:t>
      </w:r>
      <w:r>
        <w:rPr>
          <w:b/>
          <w:bCs/>
        </w:rPr>
        <w:t>01_AUS</w:t>
      </w:r>
      <w:r>
        <w:t xml:space="preserve">, </w:t>
      </w:r>
      <w:r>
        <w:rPr>
          <w:b/>
          <w:bCs/>
        </w:rPr>
        <w:t>08_JPN</w:t>
      </w:r>
      <w:r>
        <w:t xml:space="preserve">, and </w:t>
      </w:r>
      <w:r>
        <w:rPr>
          <w:b/>
          <w:bCs/>
        </w:rPr>
        <w:t>18_CT</w:t>
      </w:r>
      <w:r>
        <w:t xml:space="preserve">. </w:t>
      </w:r>
      <w:hyperlink r:id="rId8">
        <w:r>
          <w:rPr>
            <w:rStyle w:val="Hyperlink"/>
          </w:rPr>
          <w:t>[4]</w:t>
        </w:r>
      </w:hyperlink>
    </w:p>
    <w:p w14:paraId="79707672" w14:textId="77777777" w:rsidR="0075685C" w:rsidRDefault="00000000">
      <w:pPr>
        <w:pStyle w:val="Heading2"/>
      </w:pPr>
      <w:bookmarkStart w:id="4" w:name="methods-and-evidence-base"/>
      <w:bookmarkEnd w:id="3"/>
      <w:r>
        <w:t>Methods and evidence base</w:t>
      </w:r>
    </w:p>
    <w:p w14:paraId="6A7CF6C3" w14:textId="77777777" w:rsidR="0075685C" w:rsidRDefault="00000000">
      <w:pPr>
        <w:pStyle w:val="FirstParagraph"/>
      </w:pPr>
      <w:r>
        <w:t xml:space="preserve">I prioritised five source classes, in descending order of weight. First came </w:t>
      </w:r>
      <w:r>
        <w:rPr>
          <w:b/>
          <w:bCs/>
        </w:rPr>
        <w:t>peer-reviewed or quasi-primary real-world utilisation studies</w:t>
      </w:r>
      <w:r>
        <w:t xml:space="preserve"> on PHEV charging and electric drive share. Second came </w:t>
      </w:r>
      <w:r>
        <w:rPr>
          <w:b/>
          <w:bCs/>
        </w:rPr>
        <w:t>official government, transport-agency, and regulator sources</w:t>
      </w:r>
      <w:r>
        <w:t xml:space="preserve"> for fleet size, registrations, incentives, and charging infrastructure. Third came </w:t>
      </w:r>
      <w:r>
        <w:rPr>
          <w:b/>
          <w:bCs/>
        </w:rPr>
        <w:t xml:space="preserve">reputable </w:t>
      </w:r>
      <w:r>
        <w:rPr>
          <w:b/>
          <w:bCs/>
        </w:rPr>
        <w:lastRenderedPageBreak/>
        <w:t>industry or multilateral summaries</w:t>
      </w:r>
      <w:r>
        <w:t xml:space="preserve"> where official PHEV splits were unavailable in English. Fourth came </w:t>
      </w:r>
      <w:r>
        <w:rPr>
          <w:b/>
          <w:bCs/>
        </w:rPr>
        <w:t>survey or behavioural studies</w:t>
      </w:r>
      <w:r>
        <w:t xml:space="preserve"> on home charging, trip lengths, and charger use. Fifth came </w:t>
      </w:r>
      <w:r>
        <w:rPr>
          <w:b/>
          <w:bCs/>
        </w:rPr>
        <w:t>regional proxies</w:t>
      </w:r>
      <w:r>
        <w:t xml:space="preserve"> when economy-specific evidence was missing. English-language sources were prioritised throughout. </w:t>
      </w:r>
      <w:hyperlink r:id="rId9">
        <w:r>
          <w:rPr>
            <w:rStyle w:val="Hyperlink"/>
          </w:rPr>
          <w:t>[5]</w:t>
        </w:r>
      </w:hyperlink>
    </w:p>
    <w:p w14:paraId="571380B6" w14:textId="77777777" w:rsidR="0075685C" w:rsidRDefault="00000000">
      <w:pPr>
        <w:pStyle w:val="BodyText"/>
      </w:pPr>
      <w:r>
        <w:t xml:space="preserve">The estimation logic was deliberately simple and transparent. I began with an </w:t>
      </w:r>
      <w:r>
        <w:rPr>
          <w:b/>
          <w:bCs/>
        </w:rPr>
        <w:t>anchor rate</w:t>
      </w:r>
      <w:r>
        <w:t xml:space="preserve"> implied by the best empirical literature: roughly low-40s for shorter-range, irregularly charged PHEVs; mid-40s to low-50s for private-use, mid-range PHEVs with good home charging; and upper-50s to mid-60s for longer-range PHEVs in charger-rich, short-trip markets. I then adjusted that anchor using four economy-level factors:</w:t>
      </w:r>
      <w:r>
        <w:br/>
        <w:t xml:space="preserve">1. </w:t>
      </w:r>
      <w:r>
        <w:rPr>
          <w:b/>
          <w:bCs/>
        </w:rPr>
        <w:t>Vehicle mix and electric range</w:t>
      </w:r>
      <w:r>
        <w:t>, especially whether the market skews toward older short-range Toyota/Mitsubishi-style PHEVs or newer long-range Chinese PHEV/EREV models.</w:t>
      </w:r>
      <w:r>
        <w:br/>
        <w:t xml:space="preserve">2. </w:t>
      </w:r>
      <w:r>
        <w:rPr>
          <w:b/>
          <w:bCs/>
        </w:rPr>
        <w:t>Charging convenience</w:t>
      </w:r>
      <w:r>
        <w:t>, with home charging weighted more heavily than public charging because the literature shows that charging behaviour explains a large part of observed utility-factor variation.</w:t>
      </w:r>
      <w:r>
        <w:br/>
        <w:t xml:space="preserve">3. </w:t>
      </w:r>
      <w:r>
        <w:rPr>
          <w:b/>
          <w:bCs/>
        </w:rPr>
        <w:t>Travel pattern</w:t>
      </w:r>
      <w:r>
        <w:t>, using urbanisation and trip structure directionally: short dense-city trips raise electric VKT share, while longer regular inter-city use lowers it.</w:t>
      </w:r>
      <w:r>
        <w:br/>
        <w:t xml:space="preserve">4. </w:t>
      </w:r>
      <w:r>
        <w:rPr>
          <w:b/>
          <w:bCs/>
        </w:rPr>
        <w:t>Policy and cost signal</w:t>
      </w:r>
      <w:r>
        <w:t xml:space="preserve">, including EV incentives, fuel prices, and whether local rules favour charging or simply favour purchase. </w:t>
      </w:r>
      <w:hyperlink r:id="rId10">
        <w:r>
          <w:rPr>
            <w:rStyle w:val="Hyperlink"/>
          </w:rPr>
          <w:t>[6]</w:t>
        </w:r>
      </w:hyperlink>
    </w:p>
    <w:p w14:paraId="223DB936" w14:textId="77777777" w:rsidR="0075685C" w:rsidRDefault="00000000">
      <w:pPr>
        <w:pStyle w:val="BodyText"/>
      </w:pPr>
      <w:r>
        <w:t xml:space="preserve">Two methodological cautions matter. First, several consumer surveys report </w:t>
      </w:r>
      <w:r>
        <w:rPr>
          <w:b/>
          <w:bCs/>
        </w:rPr>
        <w:t>share of trips</w:t>
      </w:r>
      <w:r>
        <w:t xml:space="preserve"> in electric mode, not </w:t>
      </w:r>
      <w:r>
        <w:rPr>
          <w:b/>
          <w:bCs/>
        </w:rPr>
        <w:t>share of kilometres</w:t>
      </w:r>
      <w:r>
        <w:t xml:space="preserve">; I treated those survey results as </w:t>
      </w:r>
      <w:r>
        <w:rPr>
          <w:b/>
          <w:bCs/>
        </w:rPr>
        <w:t>upper-directional indicators</w:t>
      </w:r>
      <w:r>
        <w:t xml:space="preserve">, then moderated them downward when a market also has substantial long-distance travel. Second, public-charging statistics are not harmonised: some sources count </w:t>
      </w:r>
      <w:r>
        <w:rPr>
          <w:b/>
          <w:bCs/>
        </w:rPr>
        <w:t>ports</w:t>
      </w:r>
      <w:r>
        <w:t xml:space="preserve">, others count </w:t>
      </w:r>
      <w:r>
        <w:rPr>
          <w:b/>
          <w:bCs/>
        </w:rPr>
        <w:t>stations</w:t>
      </w:r>
      <w:r>
        <w:t xml:space="preserve">, and others count </w:t>
      </w:r>
      <w:r>
        <w:rPr>
          <w:b/>
          <w:bCs/>
        </w:rPr>
        <w:t>providers</w:t>
      </w:r>
      <w:r>
        <w:t xml:space="preserve">. Accordingly, the uncertainty bands below are </w:t>
      </w:r>
      <w:r>
        <w:rPr>
          <w:b/>
          <w:bCs/>
        </w:rPr>
        <w:t>not formal confidence intervals</w:t>
      </w:r>
      <w:r>
        <w:t xml:space="preserve">; they are judgement-based ranges reflecting both data quality and market heterogeneity. </w:t>
      </w:r>
      <w:hyperlink r:id="rId11">
        <w:r>
          <w:rPr>
            <w:rStyle w:val="Hyperlink"/>
          </w:rPr>
          <w:t>[7]</w:t>
        </w:r>
      </w:hyperlink>
    </w:p>
    <w:p w14:paraId="34F70018" w14:textId="77777777" w:rsidR="0075685C" w:rsidRDefault="00000000">
      <w:pPr>
        <w:pStyle w:val="BodyText"/>
      </w:pPr>
      <w:r>
        <w:t xml:space="preserve">I classify the resulting evidence quality implicitly through the uncertainty ranges. </w:t>
      </w:r>
      <w:r>
        <w:rPr>
          <w:b/>
          <w:bCs/>
        </w:rPr>
        <w:t>Narrower ranges</w:t>
      </w:r>
      <w:r>
        <w:t xml:space="preserve"> indicate at least one direct local anchor or strong local context. </w:t>
      </w:r>
      <w:r>
        <w:rPr>
          <w:b/>
          <w:bCs/>
        </w:rPr>
        <w:t>Wider ranges</w:t>
      </w:r>
      <w:r>
        <w:t xml:space="preserve"> indicate sparse local evidence and heavier reliance on structural proxies. One cross-cutting assumption is that, for most APEC economies, grid connection is no longer the binding constraint; </w:t>
      </w:r>
      <w:r>
        <w:rPr>
          <w:b/>
          <w:bCs/>
        </w:rPr>
        <w:t>Papua New Guinea is the main exception</w:t>
      </w:r>
      <w:r>
        <w:t xml:space="preserve">, with electricity access at </w:t>
      </w:r>
      <w:r>
        <w:rPr>
          <w:b/>
          <w:bCs/>
        </w:rPr>
        <w:t>20.5% of population in 2023</w:t>
      </w:r>
      <w:r>
        <w:t xml:space="preserve">. </w:t>
      </w:r>
      <w:hyperlink r:id="rId12">
        <w:r>
          <w:rPr>
            <w:rStyle w:val="Hyperlink"/>
          </w:rPr>
          <w:t>[8]</w:t>
        </w:r>
      </w:hyperlink>
    </w:p>
    <w:p w14:paraId="02CB6A65" w14:textId="77777777" w:rsidR="0075685C" w:rsidRDefault="00000000">
      <w:pPr>
        <w:pStyle w:val="Heading2"/>
      </w:pPr>
      <w:bookmarkStart w:id="5" w:name="economy-estimates"/>
      <w:bookmarkEnd w:id="4"/>
      <w:r>
        <w:lastRenderedPageBreak/>
        <w:t>Economy estimates</w:t>
      </w:r>
    </w:p>
    <w:tbl>
      <w:tblPr>
        <w:tblStyle w:val="Table"/>
        <w:tblW w:w="0" w:type="auto"/>
        <w:jc w:val="center"/>
        <w:tblLook w:val="0600" w:firstRow="0" w:lastRow="0" w:firstColumn="0" w:lastColumn="0" w:noHBand="1" w:noVBand="1"/>
      </w:tblPr>
      <w:tblGrid>
        <w:gridCol w:w="1067"/>
        <w:gridCol w:w="1488"/>
        <w:gridCol w:w="1301"/>
        <w:gridCol w:w="735"/>
        <w:gridCol w:w="2520"/>
        <w:gridCol w:w="2465"/>
      </w:tblGrid>
      <w:tr w:rsidR="0075685C" w14:paraId="0ADAFC13" w14:textId="77777777">
        <w:trPr>
          <w:jc w:val="center"/>
        </w:trPr>
        <w:tc>
          <w:tcPr>
            <w:tcW w:w="0" w:type="auto"/>
            <w:gridSpan w:val="6"/>
          </w:tcPr>
          <w:p w14:paraId="50BD57B8" w14:textId="77777777" w:rsidR="0075685C" w:rsidRDefault="00000000">
            <w:pPr>
              <w:pStyle w:val="Compact"/>
              <w:jc w:val="center"/>
            </w:pPr>
            <w:r>
              <w:rPr>
                <w:noProof/>
              </w:rPr>
              <w:drawing>
                <wp:inline distT="0" distB="0" distL="0" distR="0" wp14:anchorId="2EB0B086" wp14:editId="4B70DC92">
                  <wp:extent cx="5334000" cy="4016962"/>
                  <wp:effectExtent l="0" t="0" r="0" b="0"/>
                  <wp:docPr id="30" name="Picture" descr="Rendered Mermaid diagram 1"/>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"/>
                          <pic:cNvPicPr>
                            <a:picLocks noChangeAspect="1" noChangeArrowheads="1"/>
                          </pic:cNvPicPr>
                        </pic:nvPicPr>
                        <pic:blipFill>
                          <a:blip r:embed="rId13"/>
                          <a:stretch>
                            <a:fillRect/>
                          </a:stretch>
                        </pic:blipFill>
                        <pic:spPr bwMode="auto">
                          <a:xfrm>
                            <a:off x="0" y="0"/>
                            <a:ext cx="5334000" cy="4016962"/>
                          </a:xfrm>
                          <a:prstGeom prst="rect">
                            <a:avLst/>
                          </a:prstGeom>
                          <a:noFill/>
                          <a:ln w="9525">
                            <a:noFill/>
                            <a:headEnd/>
                            <a:tailEnd/>
                          </a:ln>
                        </pic:spPr>
                      </pic:pic>
                    </a:graphicData>
                  </a:graphic>
                </wp:inline>
              </w:drawing>
            </w:r>
            <w:r>
              <w:br/>
            </w:r>
          </w:p>
        </w:tc>
      </w:tr>
      <w:tr w:rsidR="0075685C" w14:paraId="4971F5FD" w14:textId="77777777" w:rsidTr="0075685C">
        <w:tblPrEx>
          <w:jc w:val="left"/>
          <w:tblLook w:val="0020" w:firstRow="1" w:lastRow="0" w:firstColumn="0" w:lastColumn="0" w:noHBand="0" w:noVBand="0"/>
        </w:tblPrEx>
        <w:trPr>
          <w:tblHeader/>
        </w:trPr>
        <w:tc>
          <w:tcPr>
            <w:tcW w:w="0" w:type="auto"/>
          </w:tcPr>
          <w:p w14:paraId="0E05214C" w14:textId="77777777" w:rsidR="0075685C" w:rsidRDefault="00000000">
            <w:pPr>
              <w:pStyle w:val="Compact"/>
            </w:pPr>
            <w:r>
              <w:t>Project code</w:t>
            </w:r>
          </w:p>
        </w:tc>
        <w:tc>
          <w:tcPr>
            <w:tcW w:w="0" w:type="auto"/>
          </w:tcPr>
          <w:p w14:paraId="75DB2384" w14:textId="77777777" w:rsidR="0075685C" w:rsidRDefault="00000000">
            <w:pPr>
              <w:pStyle w:val="Compact"/>
            </w:pPr>
            <w:r>
              <w:t>Economy</w:t>
            </w:r>
          </w:p>
        </w:tc>
        <w:tc>
          <w:tcPr>
            <w:tcW w:w="0" w:type="auto"/>
          </w:tcPr>
          <w:p w14:paraId="72EE8705" w14:textId="77777777" w:rsidR="0075685C" w:rsidRDefault="00000000">
            <w:pPr>
              <w:pStyle w:val="Compact"/>
              <w:jc w:val="right"/>
            </w:pPr>
            <w:r>
              <w:t>Estimated PHEV utilisation rate</w:t>
            </w:r>
          </w:p>
        </w:tc>
        <w:tc>
          <w:tcPr>
            <w:tcW w:w="0" w:type="auto"/>
          </w:tcPr>
          <w:p w14:paraId="43BEC5A0" w14:textId="77777777" w:rsidR="0075685C" w:rsidRDefault="00000000">
            <w:pPr>
              <w:pStyle w:val="Compact"/>
              <w:jc w:val="right"/>
            </w:pPr>
            <w:r>
              <w:t>Data year</w:t>
            </w:r>
          </w:p>
        </w:tc>
        <w:tc>
          <w:tcPr>
            <w:tcW w:w="0" w:type="auto"/>
          </w:tcPr>
          <w:p w14:paraId="08B059E1" w14:textId="77777777" w:rsidR="0075685C" w:rsidRDefault="00000000">
            <w:pPr>
              <w:pStyle w:val="Compact"/>
            </w:pPr>
            <w:r>
              <w:t>Primary sources</w:t>
            </w:r>
          </w:p>
        </w:tc>
        <w:tc>
          <w:tcPr>
            <w:tcW w:w="0" w:type="auto"/>
          </w:tcPr>
          <w:p w14:paraId="7074BC8A" w14:textId="77777777" w:rsidR="0075685C" w:rsidRDefault="00000000">
            <w:pPr>
              <w:pStyle w:val="Compact"/>
            </w:pPr>
            <w:r>
              <w:t>Key rationale</w:t>
            </w:r>
          </w:p>
        </w:tc>
      </w:tr>
      <w:tr w:rsidR="0075685C" w14:paraId="7714B2F1" w14:textId="77777777">
        <w:tblPrEx>
          <w:jc w:val="left"/>
          <w:tblLook w:val="0020" w:firstRow="1" w:lastRow="0" w:firstColumn="0" w:lastColumn="0" w:noHBand="0" w:noVBand="0"/>
        </w:tblPrEx>
        <w:tc>
          <w:tcPr>
            <w:tcW w:w="0" w:type="auto"/>
          </w:tcPr>
          <w:p w14:paraId="33F6CE7E" w14:textId="77777777" w:rsidR="0075685C" w:rsidRDefault="00000000">
            <w:pPr>
              <w:pStyle w:val="Compact"/>
            </w:pPr>
            <w:r>
              <w:t>01_AUS</w:t>
            </w:r>
          </w:p>
        </w:tc>
        <w:tc>
          <w:tcPr>
            <w:tcW w:w="0" w:type="auto"/>
          </w:tcPr>
          <w:p w14:paraId="1E5C7A9D" w14:textId="77777777" w:rsidR="0075685C" w:rsidRDefault="00000000">
            <w:pPr>
              <w:pStyle w:val="Compact"/>
            </w:pPr>
            <w:r>
              <w:t>Australia</w:t>
            </w:r>
          </w:p>
        </w:tc>
        <w:tc>
          <w:tcPr>
            <w:tcW w:w="0" w:type="auto"/>
          </w:tcPr>
          <w:p w14:paraId="5CD88D69" w14:textId="77777777" w:rsidR="0075685C" w:rsidRDefault="00000000">
            <w:pPr>
              <w:pStyle w:val="Compact"/>
              <w:jc w:val="right"/>
            </w:pPr>
            <w:r>
              <w:rPr>
                <w:b/>
                <w:bCs/>
              </w:rPr>
              <w:t>52%</w:t>
            </w:r>
            <w:r>
              <w:t xml:space="preserve"> (42–62)</w:t>
            </w:r>
          </w:p>
        </w:tc>
        <w:tc>
          <w:tcPr>
            <w:tcW w:w="0" w:type="auto"/>
          </w:tcPr>
          <w:p w14:paraId="7AB5CDB5" w14:textId="77777777" w:rsidR="0075685C" w:rsidRDefault="00000000">
            <w:pPr>
              <w:pStyle w:val="Compact"/>
              <w:jc w:val="right"/>
            </w:pPr>
            <w:r>
              <w:t>2024</w:t>
            </w:r>
          </w:p>
        </w:tc>
        <w:tc>
          <w:tcPr>
            <w:tcW w:w="0" w:type="auto"/>
          </w:tcPr>
          <w:p w14:paraId="2BA18D6B" w14:textId="77777777" w:rsidR="0075685C" w:rsidRDefault="00000000">
            <w:pPr>
              <w:pStyle w:val="Compact"/>
            </w:pPr>
            <w:r>
              <w:t xml:space="preserve">EVC-ITLS EV Ownership Survey 2024; EVC </w:t>
            </w:r>
            <w:r>
              <w:rPr>
                <w:i/>
                <w:iCs/>
              </w:rPr>
              <w:t>State of EVs 2024</w:t>
            </w:r>
            <w:r>
              <w:t xml:space="preserve">; global real-world UF anchors. </w:t>
            </w:r>
            <w:hyperlink r:id="rId14">
              <w:r>
                <w:rPr>
                  <w:rStyle w:val="Hyperlink"/>
                </w:rPr>
                <w:t>[9]</w:t>
              </w:r>
            </w:hyperlink>
          </w:p>
        </w:tc>
        <w:tc>
          <w:tcPr>
            <w:tcW w:w="0" w:type="auto"/>
          </w:tcPr>
          <w:p w14:paraId="6FBB14AA" w14:textId="77777777" w:rsidR="0075685C" w:rsidRDefault="00000000">
            <w:pPr>
              <w:pStyle w:val="Compact"/>
            </w:pPr>
            <w:r>
              <w:t>Australia has unusually strong home-charging access in owner surveys—</w:t>
            </w:r>
            <w:r>
              <w:rPr>
                <w:b/>
                <w:bCs/>
              </w:rPr>
              <w:t>92%</w:t>
            </w:r>
            <w:r>
              <w:t xml:space="preserve"> of surveyed EV owners could charge at home—and most driving is still short and local, but annual mileage remains material and the PHEV market has been SUV-heavy rather than </w:t>
            </w:r>
            <w:r>
              <w:lastRenderedPageBreak/>
              <w:t>dominated by ultra-long-range models.</w:t>
            </w:r>
          </w:p>
        </w:tc>
      </w:tr>
      <w:tr w:rsidR="0075685C" w14:paraId="1B497B2B" w14:textId="77777777">
        <w:tblPrEx>
          <w:jc w:val="left"/>
          <w:tblLook w:val="0020" w:firstRow="1" w:lastRow="0" w:firstColumn="0" w:lastColumn="0" w:noHBand="0" w:noVBand="0"/>
        </w:tblPrEx>
        <w:tc>
          <w:tcPr>
            <w:tcW w:w="0" w:type="auto"/>
          </w:tcPr>
          <w:p w14:paraId="7021CB0C" w14:textId="77777777" w:rsidR="0075685C" w:rsidRDefault="00000000">
            <w:pPr>
              <w:pStyle w:val="Compact"/>
            </w:pPr>
            <w:r>
              <w:lastRenderedPageBreak/>
              <w:t>02_BD</w:t>
            </w:r>
          </w:p>
        </w:tc>
        <w:tc>
          <w:tcPr>
            <w:tcW w:w="0" w:type="auto"/>
          </w:tcPr>
          <w:p w14:paraId="5B77832B" w14:textId="77777777" w:rsidR="0075685C" w:rsidRDefault="00000000">
            <w:pPr>
              <w:pStyle w:val="Compact"/>
            </w:pPr>
            <w:r>
              <w:t>Brunei Darussalam</w:t>
            </w:r>
          </w:p>
        </w:tc>
        <w:tc>
          <w:tcPr>
            <w:tcW w:w="0" w:type="auto"/>
          </w:tcPr>
          <w:p w14:paraId="12EFF38C" w14:textId="77777777" w:rsidR="0075685C" w:rsidRDefault="00000000">
            <w:pPr>
              <w:pStyle w:val="Compact"/>
              <w:jc w:val="right"/>
            </w:pPr>
            <w:r>
              <w:rPr>
                <w:b/>
                <w:bCs/>
              </w:rPr>
              <w:t>34%</w:t>
            </w:r>
            <w:r>
              <w:t xml:space="preserve"> (18–52)</w:t>
            </w:r>
          </w:p>
        </w:tc>
        <w:tc>
          <w:tcPr>
            <w:tcW w:w="0" w:type="auto"/>
          </w:tcPr>
          <w:p w14:paraId="1A5EFD0E" w14:textId="77777777" w:rsidR="0075685C" w:rsidRDefault="00000000">
            <w:pPr>
              <w:pStyle w:val="Compact"/>
              <w:jc w:val="right"/>
            </w:pPr>
            <w:r>
              <w:t>2025</w:t>
            </w:r>
          </w:p>
        </w:tc>
        <w:tc>
          <w:tcPr>
            <w:tcW w:w="0" w:type="auto"/>
          </w:tcPr>
          <w:p w14:paraId="491EC898" w14:textId="77777777" w:rsidR="0075685C" w:rsidRDefault="00000000">
            <w:pPr>
              <w:pStyle w:val="Compact"/>
            </w:pPr>
            <w:r>
              <w:t xml:space="preserve">Brunei EV policy sources; ministerial/LegCo reporting; ASEAN EV policy review. </w:t>
            </w:r>
            <w:hyperlink r:id="rId15">
              <w:r>
                <w:rPr>
                  <w:rStyle w:val="Hyperlink"/>
                </w:rPr>
                <w:t>[10]</w:t>
              </w:r>
            </w:hyperlink>
          </w:p>
        </w:tc>
        <w:tc>
          <w:tcPr>
            <w:tcW w:w="0" w:type="auto"/>
          </w:tcPr>
          <w:p w14:paraId="3D024623" w14:textId="77777777" w:rsidR="0075685C" w:rsidRDefault="00000000">
            <w:pPr>
              <w:pStyle w:val="Compact"/>
            </w:pPr>
            <w:r>
              <w:t xml:space="preserve">Local evidence is sparse. Total EV stock was only </w:t>
            </w:r>
            <w:r>
              <w:rPr>
                <w:b/>
                <w:bCs/>
              </w:rPr>
              <w:t>136 vehicles</w:t>
            </w:r>
            <w:r>
              <w:t xml:space="preserve"> in 2025 and PHEV-specific stock/new registrations were not clearly published in accessible English sources, so this is a wide ASEAN micro-market proxy rather than a measured utilisation rate.</w:t>
            </w:r>
          </w:p>
        </w:tc>
      </w:tr>
      <w:tr w:rsidR="0075685C" w14:paraId="41D313FC" w14:textId="77777777">
        <w:tblPrEx>
          <w:jc w:val="left"/>
          <w:tblLook w:val="0020" w:firstRow="1" w:lastRow="0" w:firstColumn="0" w:lastColumn="0" w:noHBand="0" w:noVBand="0"/>
        </w:tblPrEx>
        <w:tc>
          <w:tcPr>
            <w:tcW w:w="0" w:type="auto"/>
          </w:tcPr>
          <w:p w14:paraId="6D06DAEA" w14:textId="77777777" w:rsidR="0075685C" w:rsidRDefault="00000000">
            <w:pPr>
              <w:pStyle w:val="Compact"/>
            </w:pPr>
            <w:r>
              <w:t>03_CDA</w:t>
            </w:r>
          </w:p>
        </w:tc>
        <w:tc>
          <w:tcPr>
            <w:tcW w:w="0" w:type="auto"/>
          </w:tcPr>
          <w:p w14:paraId="3B0928FC" w14:textId="77777777" w:rsidR="0075685C" w:rsidRDefault="00000000">
            <w:pPr>
              <w:pStyle w:val="Compact"/>
            </w:pPr>
            <w:r>
              <w:t>Canada</w:t>
            </w:r>
          </w:p>
        </w:tc>
        <w:tc>
          <w:tcPr>
            <w:tcW w:w="0" w:type="auto"/>
          </w:tcPr>
          <w:p w14:paraId="69762DA0" w14:textId="77777777" w:rsidR="0075685C" w:rsidRDefault="00000000">
            <w:pPr>
              <w:pStyle w:val="Compact"/>
              <w:jc w:val="right"/>
            </w:pPr>
            <w:r>
              <w:rPr>
                <w:b/>
                <w:bCs/>
              </w:rPr>
              <w:t>45%</w:t>
            </w:r>
            <w:r>
              <w:t xml:space="preserve"> (35–55)</w:t>
            </w:r>
          </w:p>
        </w:tc>
        <w:tc>
          <w:tcPr>
            <w:tcW w:w="0" w:type="auto"/>
          </w:tcPr>
          <w:p w14:paraId="75C14A68" w14:textId="77777777" w:rsidR="0075685C" w:rsidRDefault="00000000">
            <w:pPr>
              <w:pStyle w:val="Compact"/>
              <w:jc w:val="right"/>
            </w:pPr>
            <w:r>
              <w:t>2025</w:t>
            </w:r>
          </w:p>
        </w:tc>
        <w:tc>
          <w:tcPr>
            <w:tcW w:w="0" w:type="auto"/>
          </w:tcPr>
          <w:p w14:paraId="13507E95" w14:textId="77777777" w:rsidR="0075685C" w:rsidRDefault="00000000">
            <w:pPr>
              <w:pStyle w:val="Compact"/>
            </w:pPr>
            <w:r>
              <w:t xml:space="preserve">Transport Canada ZEV Dashboard; Statistics Canada; NRCan charging infrastructure. </w:t>
            </w:r>
            <w:hyperlink r:id="rId16">
              <w:r>
                <w:rPr>
                  <w:rStyle w:val="Hyperlink"/>
                </w:rPr>
                <w:t>[11]</w:t>
              </w:r>
            </w:hyperlink>
          </w:p>
        </w:tc>
        <w:tc>
          <w:tcPr>
            <w:tcW w:w="0" w:type="auto"/>
          </w:tcPr>
          <w:p w14:paraId="1214C4EB" w14:textId="77777777" w:rsidR="0075685C" w:rsidRDefault="00000000">
            <w:pPr>
              <w:pStyle w:val="Compact"/>
            </w:pPr>
            <w:r>
              <w:t>Canada has a large existing PHEV fleet—</w:t>
            </w:r>
            <w:r>
              <w:rPr>
                <w:b/>
                <w:bCs/>
              </w:rPr>
              <w:t>291,512 light-duty PHEVs in operation as of October 2025</w:t>
            </w:r>
            <w:r>
              <w:t>—plus strong public support and active charger deployment, which should keep electric-mode use above the US midpoint, though very long driving environments prevent a much higher estimate.</w:t>
            </w:r>
          </w:p>
        </w:tc>
      </w:tr>
      <w:tr w:rsidR="0075685C" w14:paraId="1065BA5C" w14:textId="77777777">
        <w:tblPrEx>
          <w:jc w:val="left"/>
          <w:tblLook w:val="0020" w:firstRow="1" w:lastRow="0" w:firstColumn="0" w:lastColumn="0" w:noHBand="0" w:noVBand="0"/>
        </w:tblPrEx>
        <w:tc>
          <w:tcPr>
            <w:tcW w:w="0" w:type="auto"/>
          </w:tcPr>
          <w:p w14:paraId="59B26F41" w14:textId="77777777" w:rsidR="0075685C" w:rsidRDefault="00000000">
            <w:pPr>
              <w:pStyle w:val="Compact"/>
            </w:pPr>
            <w:r>
              <w:t>04_CHL</w:t>
            </w:r>
          </w:p>
        </w:tc>
        <w:tc>
          <w:tcPr>
            <w:tcW w:w="0" w:type="auto"/>
          </w:tcPr>
          <w:p w14:paraId="2D63001C" w14:textId="77777777" w:rsidR="0075685C" w:rsidRDefault="00000000">
            <w:pPr>
              <w:pStyle w:val="Compact"/>
            </w:pPr>
            <w:r>
              <w:t>Chile</w:t>
            </w:r>
          </w:p>
        </w:tc>
        <w:tc>
          <w:tcPr>
            <w:tcW w:w="0" w:type="auto"/>
          </w:tcPr>
          <w:p w14:paraId="4A07F070" w14:textId="77777777" w:rsidR="0075685C" w:rsidRDefault="00000000">
            <w:pPr>
              <w:pStyle w:val="Compact"/>
              <w:jc w:val="right"/>
            </w:pPr>
            <w:r>
              <w:rPr>
                <w:b/>
                <w:bCs/>
              </w:rPr>
              <w:t>40%</w:t>
            </w:r>
            <w:r>
              <w:t xml:space="preserve"> (28–52)</w:t>
            </w:r>
          </w:p>
        </w:tc>
        <w:tc>
          <w:tcPr>
            <w:tcW w:w="0" w:type="auto"/>
          </w:tcPr>
          <w:p w14:paraId="2D9FD05B" w14:textId="77777777" w:rsidR="0075685C" w:rsidRDefault="00000000">
            <w:pPr>
              <w:pStyle w:val="Compact"/>
              <w:jc w:val="right"/>
            </w:pPr>
            <w:r>
              <w:t>2024</w:t>
            </w:r>
          </w:p>
        </w:tc>
        <w:tc>
          <w:tcPr>
            <w:tcW w:w="0" w:type="auto"/>
          </w:tcPr>
          <w:p w14:paraId="6708FA77" w14:textId="77777777" w:rsidR="0075685C" w:rsidRDefault="00000000">
            <w:pPr>
              <w:pStyle w:val="Compact"/>
            </w:pPr>
            <w:r>
              <w:t xml:space="preserve">Agora/ANAC Chile e-mobility report; Chile charging-gap reporting; ANAC-based 2024 sales reporting. </w:t>
            </w:r>
            <w:hyperlink r:id="rId17">
              <w:r>
                <w:rPr>
                  <w:rStyle w:val="Hyperlink"/>
                </w:rPr>
                <w:t>[12]</w:t>
              </w:r>
            </w:hyperlink>
          </w:p>
        </w:tc>
        <w:tc>
          <w:tcPr>
            <w:tcW w:w="0" w:type="auto"/>
          </w:tcPr>
          <w:p w14:paraId="5E7D850A" w14:textId="77777777" w:rsidR="0075685C" w:rsidRDefault="00000000">
            <w:pPr>
              <w:pStyle w:val="Compact"/>
            </w:pPr>
            <w:r>
              <w:t xml:space="preserve">Chile’s plug-in market accelerated sharply in 2024 and charger-per-EV ratios are relatively favourable by regional standards, but the absolute network is still concentrated and PHEV-specific </w:t>
            </w:r>
            <w:r>
              <w:lastRenderedPageBreak/>
              <w:t>stock/new registrations remain poorly standardised in English-language official releases.</w:t>
            </w:r>
          </w:p>
        </w:tc>
      </w:tr>
      <w:tr w:rsidR="0075685C" w14:paraId="46A41DEC" w14:textId="77777777">
        <w:tblPrEx>
          <w:jc w:val="left"/>
          <w:tblLook w:val="0020" w:firstRow="1" w:lastRow="0" w:firstColumn="0" w:lastColumn="0" w:noHBand="0" w:noVBand="0"/>
        </w:tblPrEx>
        <w:tc>
          <w:tcPr>
            <w:tcW w:w="0" w:type="auto"/>
          </w:tcPr>
          <w:p w14:paraId="29AB1A37" w14:textId="77777777" w:rsidR="0075685C" w:rsidRDefault="00000000">
            <w:pPr>
              <w:pStyle w:val="Compact"/>
            </w:pPr>
            <w:r>
              <w:lastRenderedPageBreak/>
              <w:t>05_PRC</w:t>
            </w:r>
          </w:p>
        </w:tc>
        <w:tc>
          <w:tcPr>
            <w:tcW w:w="0" w:type="auto"/>
          </w:tcPr>
          <w:p w14:paraId="24196BB3" w14:textId="77777777" w:rsidR="0075685C" w:rsidRDefault="00000000">
            <w:pPr>
              <w:pStyle w:val="Compact"/>
            </w:pPr>
            <w:r>
              <w:t>China</w:t>
            </w:r>
          </w:p>
        </w:tc>
        <w:tc>
          <w:tcPr>
            <w:tcW w:w="0" w:type="auto"/>
          </w:tcPr>
          <w:p w14:paraId="7E4582F2" w14:textId="77777777" w:rsidR="0075685C" w:rsidRDefault="00000000">
            <w:pPr>
              <w:pStyle w:val="Compact"/>
              <w:jc w:val="right"/>
            </w:pPr>
            <w:r>
              <w:rPr>
                <w:b/>
                <w:bCs/>
              </w:rPr>
              <w:t>64%</w:t>
            </w:r>
            <w:r>
              <w:t xml:space="preserve"> (56–72)</w:t>
            </w:r>
          </w:p>
        </w:tc>
        <w:tc>
          <w:tcPr>
            <w:tcW w:w="0" w:type="auto"/>
          </w:tcPr>
          <w:p w14:paraId="4BBD84B6" w14:textId="77777777" w:rsidR="0075685C" w:rsidRDefault="00000000">
            <w:pPr>
              <w:pStyle w:val="Compact"/>
              <w:jc w:val="right"/>
            </w:pPr>
            <w:r>
              <w:t>2024</w:t>
            </w:r>
          </w:p>
        </w:tc>
        <w:tc>
          <w:tcPr>
            <w:tcW w:w="0" w:type="auto"/>
          </w:tcPr>
          <w:p w14:paraId="40990B44" w14:textId="77777777" w:rsidR="0075685C" w:rsidRDefault="00000000">
            <w:pPr>
              <w:pStyle w:val="Compact"/>
            </w:pPr>
            <w:r>
              <w:t xml:space="preserve">Chinese city utility-factor study; ICCT China PHEV market brief; NEA charging data. </w:t>
            </w:r>
            <w:hyperlink r:id="rId18">
              <w:r>
                <w:rPr>
                  <w:rStyle w:val="Hyperlink"/>
                </w:rPr>
                <w:t>[13]</w:t>
              </w:r>
            </w:hyperlink>
          </w:p>
        </w:tc>
        <w:tc>
          <w:tcPr>
            <w:tcW w:w="0" w:type="auto"/>
          </w:tcPr>
          <w:p w14:paraId="4A51FEAD" w14:textId="77777777" w:rsidR="0075685C" w:rsidRDefault="00000000">
            <w:pPr>
              <w:pStyle w:val="Compact"/>
            </w:pPr>
            <w:r>
              <w:t xml:space="preserve">This is the strongest estimate in the set. Chinese empirical work finds </w:t>
            </w:r>
            <w:r>
              <w:rPr>
                <w:b/>
                <w:bCs/>
              </w:rPr>
              <w:t>actual UF around 0.53 for 50 km AER PHEVs and 0.68 for 80 km AER PHEVs</w:t>
            </w:r>
            <w:r>
              <w:t xml:space="preserve">, while public-plus-private charging reached </w:t>
            </w:r>
            <w:r>
              <w:rPr>
                <w:b/>
                <w:bCs/>
              </w:rPr>
              <w:t>12.82 million facilities by end-2024</w:t>
            </w:r>
            <w:r>
              <w:t xml:space="preserve"> and the market has shifted toward longer-range PHEVs/EREVs.</w:t>
            </w:r>
          </w:p>
        </w:tc>
      </w:tr>
      <w:tr w:rsidR="0075685C" w14:paraId="3D64E428" w14:textId="77777777">
        <w:tblPrEx>
          <w:jc w:val="left"/>
          <w:tblLook w:val="0020" w:firstRow="1" w:lastRow="0" w:firstColumn="0" w:lastColumn="0" w:noHBand="0" w:noVBand="0"/>
        </w:tblPrEx>
        <w:tc>
          <w:tcPr>
            <w:tcW w:w="0" w:type="auto"/>
          </w:tcPr>
          <w:p w14:paraId="211CAFDE" w14:textId="77777777" w:rsidR="0075685C" w:rsidRDefault="00000000">
            <w:pPr>
              <w:pStyle w:val="Compact"/>
            </w:pPr>
            <w:r>
              <w:t>06_HKC</w:t>
            </w:r>
          </w:p>
        </w:tc>
        <w:tc>
          <w:tcPr>
            <w:tcW w:w="0" w:type="auto"/>
          </w:tcPr>
          <w:p w14:paraId="649395E9" w14:textId="77777777" w:rsidR="0075685C" w:rsidRDefault="00000000">
            <w:pPr>
              <w:pStyle w:val="Compact"/>
            </w:pPr>
            <w:r>
              <w:t>Hong Kong, China</w:t>
            </w:r>
          </w:p>
        </w:tc>
        <w:tc>
          <w:tcPr>
            <w:tcW w:w="0" w:type="auto"/>
          </w:tcPr>
          <w:p w14:paraId="0CEB09AD" w14:textId="77777777" w:rsidR="0075685C" w:rsidRDefault="00000000">
            <w:pPr>
              <w:pStyle w:val="Compact"/>
              <w:jc w:val="right"/>
            </w:pPr>
            <w:r>
              <w:rPr>
                <w:b/>
                <w:bCs/>
              </w:rPr>
              <w:t>54%</w:t>
            </w:r>
            <w:r>
              <w:t xml:space="preserve"> (42–64)</w:t>
            </w:r>
          </w:p>
        </w:tc>
        <w:tc>
          <w:tcPr>
            <w:tcW w:w="0" w:type="auto"/>
          </w:tcPr>
          <w:p w14:paraId="2FDEF941" w14:textId="77777777" w:rsidR="0075685C" w:rsidRDefault="00000000">
            <w:pPr>
              <w:pStyle w:val="Compact"/>
              <w:jc w:val="right"/>
            </w:pPr>
            <w:r>
              <w:t>2025</w:t>
            </w:r>
          </w:p>
        </w:tc>
        <w:tc>
          <w:tcPr>
            <w:tcW w:w="0" w:type="auto"/>
          </w:tcPr>
          <w:p w14:paraId="180D106D" w14:textId="77777777" w:rsidR="0075685C" w:rsidRDefault="00000000">
            <w:pPr>
              <w:pStyle w:val="Compact"/>
            </w:pPr>
            <w:r>
              <w:t xml:space="preserve">Hong Kong EPD/EMSD charger data; LegCo charging paper; Transport Department/InfoGov PHEV discussion. </w:t>
            </w:r>
            <w:hyperlink r:id="rId19">
              <w:r>
                <w:rPr>
                  <w:rStyle w:val="Hyperlink"/>
                </w:rPr>
                <w:t>[14]</w:t>
              </w:r>
            </w:hyperlink>
          </w:p>
        </w:tc>
        <w:tc>
          <w:tcPr>
            <w:tcW w:w="0" w:type="auto"/>
          </w:tcPr>
          <w:p w14:paraId="483BE8F5" w14:textId="77777777" w:rsidR="0075685C" w:rsidRDefault="00000000">
            <w:pPr>
              <w:pStyle w:val="Compact"/>
            </w:pPr>
            <w:r>
              <w:t>Hong Kong combines very short urban trip patterns with a large public charging base—</w:t>
            </w:r>
            <w:r>
              <w:rPr>
                <w:b/>
                <w:bCs/>
              </w:rPr>
              <w:t>16,887 public-use chargers by end-March 2026</w:t>
            </w:r>
            <w:r>
              <w:t>—but apartment living constrains home charging and the policy direction increasingly favours full EVs rather than a long PHEV runway.</w:t>
            </w:r>
          </w:p>
        </w:tc>
      </w:tr>
      <w:tr w:rsidR="0075685C" w14:paraId="4C5FB584" w14:textId="77777777">
        <w:tblPrEx>
          <w:jc w:val="left"/>
          <w:tblLook w:val="0020" w:firstRow="1" w:lastRow="0" w:firstColumn="0" w:lastColumn="0" w:noHBand="0" w:noVBand="0"/>
        </w:tblPrEx>
        <w:tc>
          <w:tcPr>
            <w:tcW w:w="0" w:type="auto"/>
          </w:tcPr>
          <w:p w14:paraId="6291B49C" w14:textId="77777777" w:rsidR="0075685C" w:rsidRDefault="00000000">
            <w:pPr>
              <w:pStyle w:val="Compact"/>
            </w:pPr>
            <w:r>
              <w:t>07_INA</w:t>
            </w:r>
          </w:p>
        </w:tc>
        <w:tc>
          <w:tcPr>
            <w:tcW w:w="0" w:type="auto"/>
          </w:tcPr>
          <w:p w14:paraId="0ACABBF6" w14:textId="77777777" w:rsidR="0075685C" w:rsidRDefault="00000000">
            <w:pPr>
              <w:pStyle w:val="Compact"/>
            </w:pPr>
            <w:r>
              <w:t>Indonesia</w:t>
            </w:r>
          </w:p>
        </w:tc>
        <w:tc>
          <w:tcPr>
            <w:tcW w:w="0" w:type="auto"/>
          </w:tcPr>
          <w:p w14:paraId="1E998670" w14:textId="77777777" w:rsidR="0075685C" w:rsidRDefault="00000000">
            <w:pPr>
              <w:pStyle w:val="Compact"/>
              <w:jc w:val="right"/>
            </w:pPr>
            <w:r>
              <w:rPr>
                <w:b/>
                <w:bCs/>
              </w:rPr>
              <w:t>38%</w:t>
            </w:r>
            <w:r>
              <w:t xml:space="preserve"> (22–52)</w:t>
            </w:r>
          </w:p>
        </w:tc>
        <w:tc>
          <w:tcPr>
            <w:tcW w:w="0" w:type="auto"/>
          </w:tcPr>
          <w:p w14:paraId="02C747C4" w14:textId="77777777" w:rsidR="0075685C" w:rsidRDefault="00000000">
            <w:pPr>
              <w:pStyle w:val="Compact"/>
              <w:jc w:val="right"/>
            </w:pPr>
            <w:r>
              <w:t>2025</w:t>
            </w:r>
          </w:p>
        </w:tc>
        <w:tc>
          <w:tcPr>
            <w:tcW w:w="0" w:type="auto"/>
          </w:tcPr>
          <w:p w14:paraId="3218CBD9" w14:textId="77777777" w:rsidR="0075685C" w:rsidRDefault="00000000">
            <w:pPr>
              <w:pStyle w:val="Compact"/>
            </w:pPr>
            <w:r>
              <w:t xml:space="preserve">Indonesian charging-gap reporting; IISD review of incentives; IEA 2026 market discussion. </w:t>
            </w:r>
            <w:hyperlink r:id="rId20">
              <w:r>
                <w:rPr>
                  <w:rStyle w:val="Hyperlink"/>
                </w:rPr>
                <w:t>[15]</w:t>
              </w:r>
            </w:hyperlink>
          </w:p>
        </w:tc>
        <w:tc>
          <w:tcPr>
            <w:tcW w:w="0" w:type="auto"/>
          </w:tcPr>
          <w:p w14:paraId="7C510CA9" w14:textId="77777777" w:rsidR="0075685C" w:rsidRDefault="00000000">
            <w:pPr>
              <w:pStyle w:val="Compact"/>
            </w:pPr>
            <w:r>
              <w:t>Indonesia is improving, but the enabling environment is still BEV-skewed. Public charging remained thin—</w:t>
            </w:r>
            <w:r>
              <w:rPr>
                <w:b/>
                <w:bCs/>
              </w:rPr>
              <w:t>1,566 charging stations as of April 2024</w:t>
            </w:r>
            <w:r>
              <w:t xml:space="preserve"> in one cited industry </w:t>
            </w:r>
            <w:r>
              <w:lastRenderedPageBreak/>
              <w:t>summary—and policy support has been much clearer for BEVs than for PHEVs, so mid-to-high electric use is unlikely outside affluent urban households.</w:t>
            </w:r>
          </w:p>
        </w:tc>
      </w:tr>
      <w:tr w:rsidR="0075685C" w14:paraId="15C5F979" w14:textId="77777777">
        <w:tblPrEx>
          <w:jc w:val="left"/>
          <w:tblLook w:val="0020" w:firstRow="1" w:lastRow="0" w:firstColumn="0" w:lastColumn="0" w:noHBand="0" w:noVBand="0"/>
        </w:tblPrEx>
        <w:tc>
          <w:tcPr>
            <w:tcW w:w="0" w:type="auto"/>
          </w:tcPr>
          <w:p w14:paraId="0EC36831" w14:textId="77777777" w:rsidR="0075685C" w:rsidRDefault="00000000">
            <w:pPr>
              <w:pStyle w:val="Compact"/>
            </w:pPr>
            <w:r>
              <w:lastRenderedPageBreak/>
              <w:t>08_JPN</w:t>
            </w:r>
          </w:p>
        </w:tc>
        <w:tc>
          <w:tcPr>
            <w:tcW w:w="0" w:type="auto"/>
          </w:tcPr>
          <w:p w14:paraId="7980CE1A" w14:textId="77777777" w:rsidR="0075685C" w:rsidRDefault="00000000">
            <w:pPr>
              <w:pStyle w:val="Compact"/>
            </w:pPr>
            <w:r>
              <w:t>Japan</w:t>
            </w:r>
          </w:p>
        </w:tc>
        <w:tc>
          <w:tcPr>
            <w:tcW w:w="0" w:type="auto"/>
          </w:tcPr>
          <w:p w14:paraId="5D6FC563" w14:textId="77777777" w:rsidR="0075685C" w:rsidRDefault="00000000">
            <w:pPr>
              <w:pStyle w:val="Compact"/>
              <w:jc w:val="right"/>
            </w:pPr>
            <w:r>
              <w:rPr>
                <w:b/>
                <w:bCs/>
              </w:rPr>
              <w:t>45%</w:t>
            </w:r>
            <w:r>
              <w:t xml:space="preserve"> (35–54)</w:t>
            </w:r>
          </w:p>
        </w:tc>
        <w:tc>
          <w:tcPr>
            <w:tcW w:w="0" w:type="auto"/>
          </w:tcPr>
          <w:p w14:paraId="23F4503E" w14:textId="77777777" w:rsidR="0075685C" w:rsidRDefault="00000000">
            <w:pPr>
              <w:pStyle w:val="Compact"/>
              <w:jc w:val="right"/>
            </w:pPr>
            <w:r>
              <w:t>2024</w:t>
            </w:r>
          </w:p>
        </w:tc>
        <w:tc>
          <w:tcPr>
            <w:tcW w:w="0" w:type="auto"/>
          </w:tcPr>
          <w:p w14:paraId="6EB715DD" w14:textId="77777777" w:rsidR="0075685C" w:rsidRDefault="00000000">
            <w:pPr>
              <w:pStyle w:val="Compact"/>
            </w:pPr>
            <w:r>
              <w:t xml:space="preserve">Japanese charging-behaviour study; CEV Promotion Center; METI subsidy/charging policy. </w:t>
            </w:r>
            <w:hyperlink r:id="rId21">
              <w:r>
                <w:rPr>
                  <w:rStyle w:val="Hyperlink"/>
                </w:rPr>
                <w:t>[16]</w:t>
              </w:r>
            </w:hyperlink>
          </w:p>
        </w:tc>
        <w:tc>
          <w:tcPr>
            <w:tcW w:w="0" w:type="auto"/>
          </w:tcPr>
          <w:p w14:paraId="00CEBA19" w14:textId="77777777" w:rsidR="0075685C" w:rsidRDefault="00000000">
            <w:pPr>
              <w:pStyle w:val="Compact"/>
            </w:pPr>
            <w:r>
              <w:t>Japan’s PHEV users appear strongly home-charge oriented and relatively reluctant to rely on public charging; that supports regular electric commuting, but the installed base still includes many shorter-range Toyota/Mitsubishi PHEVs and the public network has expanded more slowly than the 2030 target trajectory implies.</w:t>
            </w:r>
          </w:p>
        </w:tc>
      </w:tr>
      <w:tr w:rsidR="0075685C" w14:paraId="74A83F6A" w14:textId="77777777">
        <w:tblPrEx>
          <w:jc w:val="left"/>
          <w:tblLook w:val="0020" w:firstRow="1" w:lastRow="0" w:firstColumn="0" w:lastColumn="0" w:noHBand="0" w:noVBand="0"/>
        </w:tblPrEx>
        <w:tc>
          <w:tcPr>
            <w:tcW w:w="0" w:type="auto"/>
          </w:tcPr>
          <w:p w14:paraId="670046C3" w14:textId="77777777" w:rsidR="0075685C" w:rsidRDefault="00000000">
            <w:pPr>
              <w:pStyle w:val="Compact"/>
            </w:pPr>
            <w:r>
              <w:t>09_ROK</w:t>
            </w:r>
          </w:p>
        </w:tc>
        <w:tc>
          <w:tcPr>
            <w:tcW w:w="0" w:type="auto"/>
          </w:tcPr>
          <w:p w14:paraId="10A787D6" w14:textId="77777777" w:rsidR="0075685C" w:rsidRDefault="00000000">
            <w:pPr>
              <w:pStyle w:val="Compact"/>
            </w:pPr>
            <w:r>
              <w:t>Korea</w:t>
            </w:r>
          </w:p>
        </w:tc>
        <w:tc>
          <w:tcPr>
            <w:tcW w:w="0" w:type="auto"/>
          </w:tcPr>
          <w:p w14:paraId="0612E893" w14:textId="77777777" w:rsidR="0075685C" w:rsidRDefault="00000000">
            <w:pPr>
              <w:pStyle w:val="Compact"/>
              <w:jc w:val="right"/>
            </w:pPr>
            <w:r>
              <w:rPr>
                <w:b/>
                <w:bCs/>
              </w:rPr>
              <w:t>53%</w:t>
            </w:r>
            <w:r>
              <w:t xml:space="preserve"> (44–61)</w:t>
            </w:r>
          </w:p>
        </w:tc>
        <w:tc>
          <w:tcPr>
            <w:tcW w:w="0" w:type="auto"/>
          </w:tcPr>
          <w:p w14:paraId="1E70FBFD" w14:textId="77777777" w:rsidR="0075685C" w:rsidRDefault="00000000">
            <w:pPr>
              <w:pStyle w:val="Compact"/>
              <w:jc w:val="right"/>
            </w:pPr>
            <w:r>
              <w:t>2024</w:t>
            </w:r>
          </w:p>
        </w:tc>
        <w:tc>
          <w:tcPr>
            <w:tcW w:w="0" w:type="auto"/>
          </w:tcPr>
          <w:p w14:paraId="6F7FCF4E" w14:textId="77777777" w:rsidR="0075685C" w:rsidRDefault="00000000">
            <w:pPr>
              <w:pStyle w:val="Compact"/>
            </w:pPr>
            <w:r>
              <w:t xml:space="preserve">IEA charging report; Korea Government charging-budget release; IEEE/Korean infrastructure analysis. </w:t>
            </w:r>
            <w:hyperlink r:id="rId22">
              <w:r>
                <w:rPr>
                  <w:rStyle w:val="Hyperlink"/>
                </w:rPr>
                <w:t>[17]</w:t>
              </w:r>
            </w:hyperlink>
          </w:p>
        </w:tc>
        <w:tc>
          <w:tcPr>
            <w:tcW w:w="0" w:type="auto"/>
          </w:tcPr>
          <w:p w14:paraId="1540DE99" w14:textId="77777777" w:rsidR="0075685C" w:rsidRDefault="00000000">
            <w:pPr>
              <w:pStyle w:val="Compact"/>
            </w:pPr>
            <w:r>
              <w:t xml:space="preserve">Korea is one of the most charger-rich EV markets globally. Fast chargers rose from </w:t>
            </w:r>
            <w:r>
              <w:rPr>
                <w:b/>
                <w:bCs/>
              </w:rPr>
              <w:t>34,000 in 2023 to 47,000 in 2024</w:t>
            </w:r>
            <w:r>
              <w:t xml:space="preserve">, and broader public-charger density is extremely high, so regular charging should be common; the estimate stays below China because Korea’s PHEV model mix has not shifted as </w:t>
            </w:r>
            <w:r>
              <w:lastRenderedPageBreak/>
              <w:t>strongly toward very long electric ranges.</w:t>
            </w:r>
          </w:p>
        </w:tc>
      </w:tr>
      <w:tr w:rsidR="0075685C" w14:paraId="668D93D9" w14:textId="77777777">
        <w:tblPrEx>
          <w:jc w:val="left"/>
          <w:tblLook w:val="0020" w:firstRow="1" w:lastRow="0" w:firstColumn="0" w:lastColumn="0" w:noHBand="0" w:noVBand="0"/>
        </w:tblPrEx>
        <w:tc>
          <w:tcPr>
            <w:tcW w:w="0" w:type="auto"/>
          </w:tcPr>
          <w:p w14:paraId="7595A94F" w14:textId="77777777" w:rsidR="0075685C" w:rsidRDefault="00000000">
            <w:pPr>
              <w:pStyle w:val="Compact"/>
            </w:pPr>
            <w:r>
              <w:lastRenderedPageBreak/>
              <w:t>10_MAS</w:t>
            </w:r>
          </w:p>
        </w:tc>
        <w:tc>
          <w:tcPr>
            <w:tcW w:w="0" w:type="auto"/>
          </w:tcPr>
          <w:p w14:paraId="098D39CF" w14:textId="77777777" w:rsidR="0075685C" w:rsidRDefault="00000000">
            <w:pPr>
              <w:pStyle w:val="Compact"/>
            </w:pPr>
            <w:r>
              <w:t>Malaysia</w:t>
            </w:r>
          </w:p>
        </w:tc>
        <w:tc>
          <w:tcPr>
            <w:tcW w:w="0" w:type="auto"/>
          </w:tcPr>
          <w:p w14:paraId="09EF624A" w14:textId="77777777" w:rsidR="0075685C" w:rsidRDefault="00000000">
            <w:pPr>
              <w:pStyle w:val="Compact"/>
              <w:jc w:val="right"/>
            </w:pPr>
            <w:r>
              <w:rPr>
                <w:b/>
                <w:bCs/>
              </w:rPr>
              <w:t>42%</w:t>
            </w:r>
            <w:r>
              <w:t xml:space="preserve"> (28–54)</w:t>
            </w:r>
          </w:p>
        </w:tc>
        <w:tc>
          <w:tcPr>
            <w:tcW w:w="0" w:type="auto"/>
          </w:tcPr>
          <w:p w14:paraId="3F9A6B2D" w14:textId="77777777" w:rsidR="0075685C" w:rsidRDefault="00000000">
            <w:pPr>
              <w:pStyle w:val="Compact"/>
              <w:jc w:val="right"/>
            </w:pPr>
            <w:r>
              <w:t>2024</w:t>
            </w:r>
          </w:p>
        </w:tc>
        <w:tc>
          <w:tcPr>
            <w:tcW w:w="0" w:type="auto"/>
          </w:tcPr>
          <w:p w14:paraId="220E8354" w14:textId="77777777" w:rsidR="0075685C" w:rsidRDefault="00000000">
            <w:pPr>
              <w:pStyle w:val="Compact"/>
            </w:pPr>
            <w:r>
              <w:t xml:space="preserve">MAA 2024 market review; Malaysia EV Charging Index; Malaysia EV infrastructure review. </w:t>
            </w:r>
            <w:hyperlink r:id="rId23">
              <w:r>
                <w:rPr>
                  <w:rStyle w:val="Hyperlink"/>
                </w:rPr>
                <w:t>[18]</w:t>
              </w:r>
            </w:hyperlink>
          </w:p>
        </w:tc>
        <w:tc>
          <w:tcPr>
            <w:tcW w:w="0" w:type="auto"/>
          </w:tcPr>
          <w:p w14:paraId="21D0E929" w14:textId="77777777" w:rsidR="0075685C" w:rsidRDefault="00000000">
            <w:pPr>
              <w:pStyle w:val="Compact"/>
            </w:pPr>
            <w:r>
              <w:t xml:space="preserve">Malaysia’s brighter side is that higher-income adopters often have workable residential charging. The drag is infrastructure still being comparatively sparse—around </w:t>
            </w:r>
            <w:r>
              <w:rPr>
                <w:b/>
                <w:bCs/>
              </w:rPr>
              <w:t>1,430 chargers in October 2023</w:t>
            </w:r>
            <w:r>
              <w:t xml:space="preserve"> in the cited charging-index source—and subsidised fuel weakens the economic incentive to maximise charging.</w:t>
            </w:r>
          </w:p>
        </w:tc>
      </w:tr>
      <w:tr w:rsidR="0075685C" w14:paraId="4A1A6C21" w14:textId="77777777">
        <w:tblPrEx>
          <w:jc w:val="left"/>
          <w:tblLook w:val="0020" w:firstRow="1" w:lastRow="0" w:firstColumn="0" w:lastColumn="0" w:noHBand="0" w:noVBand="0"/>
        </w:tblPrEx>
        <w:tc>
          <w:tcPr>
            <w:tcW w:w="0" w:type="auto"/>
          </w:tcPr>
          <w:p w14:paraId="606DD062" w14:textId="77777777" w:rsidR="0075685C" w:rsidRDefault="00000000">
            <w:pPr>
              <w:pStyle w:val="Compact"/>
            </w:pPr>
            <w:r>
              <w:t>11_MEX</w:t>
            </w:r>
          </w:p>
        </w:tc>
        <w:tc>
          <w:tcPr>
            <w:tcW w:w="0" w:type="auto"/>
          </w:tcPr>
          <w:p w14:paraId="6FE036A9" w14:textId="77777777" w:rsidR="0075685C" w:rsidRDefault="00000000">
            <w:pPr>
              <w:pStyle w:val="Compact"/>
            </w:pPr>
            <w:r>
              <w:t>Mexico</w:t>
            </w:r>
          </w:p>
        </w:tc>
        <w:tc>
          <w:tcPr>
            <w:tcW w:w="0" w:type="auto"/>
          </w:tcPr>
          <w:p w14:paraId="079DE34A" w14:textId="77777777" w:rsidR="0075685C" w:rsidRDefault="00000000">
            <w:pPr>
              <w:pStyle w:val="Compact"/>
              <w:jc w:val="right"/>
            </w:pPr>
            <w:r>
              <w:rPr>
                <w:b/>
                <w:bCs/>
              </w:rPr>
              <w:t>41%</w:t>
            </w:r>
            <w:r>
              <w:t xml:space="preserve"> (30–52)</w:t>
            </w:r>
          </w:p>
        </w:tc>
        <w:tc>
          <w:tcPr>
            <w:tcW w:w="0" w:type="auto"/>
          </w:tcPr>
          <w:p w14:paraId="4F2544F4" w14:textId="77777777" w:rsidR="0075685C" w:rsidRDefault="00000000">
            <w:pPr>
              <w:pStyle w:val="Compact"/>
              <w:jc w:val="right"/>
            </w:pPr>
            <w:r>
              <w:t>2025</w:t>
            </w:r>
          </w:p>
        </w:tc>
        <w:tc>
          <w:tcPr>
            <w:tcW w:w="0" w:type="auto"/>
          </w:tcPr>
          <w:p w14:paraId="63D331E2" w14:textId="77777777" w:rsidR="0075685C" w:rsidRDefault="00000000">
            <w:pPr>
              <w:pStyle w:val="Compact"/>
            </w:pPr>
            <w:r>
              <w:t xml:space="preserve">IEA 2026 Mexico market discussion; EV industry sales reporting; Mexico infrastructure study. </w:t>
            </w:r>
            <w:hyperlink r:id="rId24">
              <w:r>
                <w:rPr>
                  <w:rStyle w:val="Hyperlink"/>
                </w:rPr>
                <w:t>[19]</w:t>
              </w:r>
            </w:hyperlink>
          </w:p>
        </w:tc>
        <w:tc>
          <w:tcPr>
            <w:tcW w:w="0" w:type="auto"/>
          </w:tcPr>
          <w:p w14:paraId="382DA4DC" w14:textId="77777777" w:rsidR="0075685C" w:rsidRDefault="00000000">
            <w:pPr>
              <w:pStyle w:val="Compact"/>
            </w:pPr>
            <w:r>
              <w:t xml:space="preserve">Mexico’s plug-in market is unusually PHEV-heavy—IEA notes that </w:t>
            </w:r>
            <w:r>
              <w:rPr>
                <w:b/>
                <w:bCs/>
              </w:rPr>
              <w:t>PHEVs represented nearly 60% of electric-car sales in 2025</w:t>
            </w:r>
            <w:r>
              <w:t>—but public fast charging remains patchy and large metro travel sheds are sizeable, so the most likely outcome is a mid-range electric-VKT share rather than a high one.</w:t>
            </w:r>
          </w:p>
        </w:tc>
      </w:tr>
      <w:tr w:rsidR="0075685C" w14:paraId="2977CC9B" w14:textId="77777777">
        <w:tblPrEx>
          <w:jc w:val="left"/>
          <w:tblLook w:val="0020" w:firstRow="1" w:lastRow="0" w:firstColumn="0" w:lastColumn="0" w:noHBand="0" w:noVBand="0"/>
        </w:tblPrEx>
        <w:tc>
          <w:tcPr>
            <w:tcW w:w="0" w:type="auto"/>
          </w:tcPr>
          <w:p w14:paraId="72B31084" w14:textId="77777777" w:rsidR="0075685C" w:rsidRDefault="00000000">
            <w:pPr>
              <w:pStyle w:val="Compact"/>
            </w:pPr>
            <w:r>
              <w:t>12_NZ</w:t>
            </w:r>
          </w:p>
        </w:tc>
        <w:tc>
          <w:tcPr>
            <w:tcW w:w="0" w:type="auto"/>
          </w:tcPr>
          <w:p w14:paraId="5A8D92AF" w14:textId="77777777" w:rsidR="0075685C" w:rsidRDefault="00000000">
            <w:pPr>
              <w:pStyle w:val="Compact"/>
            </w:pPr>
            <w:r>
              <w:t>New Zealand</w:t>
            </w:r>
          </w:p>
        </w:tc>
        <w:tc>
          <w:tcPr>
            <w:tcW w:w="0" w:type="auto"/>
          </w:tcPr>
          <w:p w14:paraId="044131CC" w14:textId="77777777" w:rsidR="0075685C" w:rsidRDefault="00000000">
            <w:pPr>
              <w:pStyle w:val="Compact"/>
              <w:jc w:val="right"/>
            </w:pPr>
            <w:r>
              <w:rPr>
                <w:b/>
                <w:bCs/>
              </w:rPr>
              <w:t>50%</w:t>
            </w:r>
            <w:r>
              <w:t xml:space="preserve"> (40–60)</w:t>
            </w:r>
          </w:p>
        </w:tc>
        <w:tc>
          <w:tcPr>
            <w:tcW w:w="0" w:type="auto"/>
          </w:tcPr>
          <w:p w14:paraId="54201A01" w14:textId="77777777" w:rsidR="0075685C" w:rsidRDefault="00000000">
            <w:pPr>
              <w:pStyle w:val="Compact"/>
              <w:jc w:val="right"/>
            </w:pPr>
            <w:r>
              <w:t>2024</w:t>
            </w:r>
          </w:p>
        </w:tc>
        <w:tc>
          <w:tcPr>
            <w:tcW w:w="0" w:type="auto"/>
          </w:tcPr>
          <w:p w14:paraId="6E92695C" w14:textId="77777777" w:rsidR="0075685C" w:rsidRDefault="00000000">
            <w:pPr>
              <w:pStyle w:val="Compact"/>
            </w:pPr>
            <w:r>
              <w:t xml:space="preserve">NZTA/Figure.NZ fleet data; NZTA open-data pages; Ministry of Transport fleet statistics. </w:t>
            </w:r>
            <w:hyperlink r:id="rId25">
              <w:r>
                <w:rPr>
                  <w:rStyle w:val="Hyperlink"/>
                </w:rPr>
                <w:t>[20]</w:t>
              </w:r>
            </w:hyperlink>
          </w:p>
        </w:tc>
        <w:tc>
          <w:tcPr>
            <w:tcW w:w="0" w:type="auto"/>
          </w:tcPr>
          <w:p w14:paraId="01E0D5D4" w14:textId="77777777" w:rsidR="0075685C" w:rsidRDefault="00000000">
            <w:pPr>
              <w:pStyle w:val="Compact"/>
            </w:pPr>
            <w:r>
              <w:t xml:space="preserve">New Zealand has one of the clearest PHEV fleet datasets: the registered fleet reached about </w:t>
            </w:r>
            <w:r>
              <w:rPr>
                <w:b/>
                <w:bCs/>
              </w:rPr>
              <w:t>35,250 PHEVs at end-2024</w:t>
            </w:r>
            <w:r>
              <w:t xml:space="preserve">. </w:t>
            </w:r>
            <w:r>
              <w:lastRenderedPageBreak/>
              <w:t>Residential charging conditions are generally favourable and the market has a mature imported PHEV base, but longer inter-city travel keeps expected electric VKT below dense-city economies.</w:t>
            </w:r>
          </w:p>
        </w:tc>
      </w:tr>
      <w:tr w:rsidR="0075685C" w14:paraId="0DFCF440" w14:textId="77777777">
        <w:tblPrEx>
          <w:jc w:val="left"/>
          <w:tblLook w:val="0020" w:firstRow="1" w:lastRow="0" w:firstColumn="0" w:lastColumn="0" w:noHBand="0" w:noVBand="0"/>
        </w:tblPrEx>
        <w:tc>
          <w:tcPr>
            <w:tcW w:w="0" w:type="auto"/>
          </w:tcPr>
          <w:p w14:paraId="73F11EB0" w14:textId="77777777" w:rsidR="0075685C" w:rsidRDefault="00000000">
            <w:pPr>
              <w:pStyle w:val="Compact"/>
            </w:pPr>
            <w:r>
              <w:lastRenderedPageBreak/>
              <w:t>13_PNG</w:t>
            </w:r>
          </w:p>
        </w:tc>
        <w:tc>
          <w:tcPr>
            <w:tcW w:w="0" w:type="auto"/>
          </w:tcPr>
          <w:p w14:paraId="0433489E" w14:textId="77777777" w:rsidR="0075685C" w:rsidRDefault="00000000">
            <w:pPr>
              <w:pStyle w:val="Compact"/>
            </w:pPr>
            <w:r>
              <w:t>Papua New Guinea</w:t>
            </w:r>
          </w:p>
        </w:tc>
        <w:tc>
          <w:tcPr>
            <w:tcW w:w="0" w:type="auto"/>
          </w:tcPr>
          <w:p w14:paraId="3E75807C" w14:textId="77777777" w:rsidR="0075685C" w:rsidRDefault="00000000">
            <w:pPr>
              <w:pStyle w:val="Compact"/>
              <w:jc w:val="right"/>
            </w:pPr>
            <w:r>
              <w:rPr>
                <w:b/>
                <w:bCs/>
              </w:rPr>
              <w:t>8%</w:t>
            </w:r>
            <w:r>
              <w:t xml:space="preserve"> (2–18)</w:t>
            </w:r>
          </w:p>
        </w:tc>
        <w:tc>
          <w:tcPr>
            <w:tcW w:w="0" w:type="auto"/>
          </w:tcPr>
          <w:p w14:paraId="3CCED988" w14:textId="77777777" w:rsidR="0075685C" w:rsidRDefault="00000000">
            <w:pPr>
              <w:pStyle w:val="Compact"/>
              <w:jc w:val="right"/>
            </w:pPr>
            <w:r>
              <w:t>2025</w:t>
            </w:r>
          </w:p>
        </w:tc>
        <w:tc>
          <w:tcPr>
            <w:tcW w:w="0" w:type="auto"/>
          </w:tcPr>
          <w:p w14:paraId="667C10FE" w14:textId="77777777" w:rsidR="0075685C" w:rsidRDefault="00000000">
            <w:pPr>
              <w:pStyle w:val="Compact"/>
            </w:pPr>
            <w:r>
              <w:t xml:space="preserve">World Bank electricity-access data; PNG e-mobility roadmap/policy sources; first-EV reporting. </w:t>
            </w:r>
            <w:hyperlink r:id="rId26">
              <w:r>
                <w:rPr>
                  <w:rStyle w:val="Hyperlink"/>
                </w:rPr>
                <w:t>[21]</w:t>
              </w:r>
            </w:hyperlink>
          </w:p>
        </w:tc>
        <w:tc>
          <w:tcPr>
            <w:tcW w:w="0" w:type="auto"/>
          </w:tcPr>
          <w:p w14:paraId="40A4D144" w14:textId="77777777" w:rsidR="0075685C" w:rsidRDefault="00000000">
            <w:pPr>
              <w:pStyle w:val="Compact"/>
            </w:pPr>
            <w:r>
              <w:t xml:space="preserve">PNG is the clear outlier. Electricity access was only </w:t>
            </w:r>
            <w:r>
              <w:rPr>
                <w:b/>
                <w:bCs/>
              </w:rPr>
              <w:t>20.5% in 2023</w:t>
            </w:r>
            <w:r>
              <w:t>, and the EV ecosystem is still at roadmap and pilot stage. PHEV stock and new registrations are effectively unspecified, so only a very low niche electric-VKT share is defensible.</w:t>
            </w:r>
          </w:p>
        </w:tc>
      </w:tr>
      <w:tr w:rsidR="0075685C" w14:paraId="31E867EF" w14:textId="77777777">
        <w:tblPrEx>
          <w:jc w:val="left"/>
          <w:tblLook w:val="0020" w:firstRow="1" w:lastRow="0" w:firstColumn="0" w:lastColumn="0" w:noHBand="0" w:noVBand="0"/>
        </w:tblPrEx>
        <w:tc>
          <w:tcPr>
            <w:tcW w:w="0" w:type="auto"/>
          </w:tcPr>
          <w:p w14:paraId="3C32E6DC" w14:textId="77777777" w:rsidR="0075685C" w:rsidRDefault="00000000">
            <w:pPr>
              <w:pStyle w:val="Compact"/>
            </w:pPr>
            <w:r>
              <w:t>14_PE</w:t>
            </w:r>
          </w:p>
        </w:tc>
        <w:tc>
          <w:tcPr>
            <w:tcW w:w="0" w:type="auto"/>
          </w:tcPr>
          <w:p w14:paraId="07CF54D3" w14:textId="77777777" w:rsidR="0075685C" w:rsidRDefault="00000000">
            <w:pPr>
              <w:pStyle w:val="Compact"/>
            </w:pPr>
            <w:r>
              <w:t>Peru</w:t>
            </w:r>
          </w:p>
        </w:tc>
        <w:tc>
          <w:tcPr>
            <w:tcW w:w="0" w:type="auto"/>
          </w:tcPr>
          <w:p w14:paraId="37F5E065" w14:textId="77777777" w:rsidR="0075685C" w:rsidRDefault="00000000">
            <w:pPr>
              <w:pStyle w:val="Compact"/>
              <w:jc w:val="right"/>
            </w:pPr>
            <w:r>
              <w:rPr>
                <w:b/>
                <w:bCs/>
              </w:rPr>
              <w:t>33%</w:t>
            </w:r>
            <w:r>
              <w:t xml:space="preserve"> (20–46)</w:t>
            </w:r>
          </w:p>
        </w:tc>
        <w:tc>
          <w:tcPr>
            <w:tcW w:w="0" w:type="auto"/>
          </w:tcPr>
          <w:p w14:paraId="6EAE4FF1" w14:textId="77777777" w:rsidR="0075685C" w:rsidRDefault="00000000">
            <w:pPr>
              <w:pStyle w:val="Compact"/>
              <w:jc w:val="right"/>
            </w:pPr>
            <w:r>
              <w:t>2024</w:t>
            </w:r>
          </w:p>
        </w:tc>
        <w:tc>
          <w:tcPr>
            <w:tcW w:w="0" w:type="auto"/>
          </w:tcPr>
          <w:p w14:paraId="303DB4CE" w14:textId="77777777" w:rsidR="0075685C" w:rsidRDefault="00000000">
            <w:pPr>
              <w:pStyle w:val="Compact"/>
            </w:pPr>
            <w:r>
              <w:t xml:space="preserve">U.S. Trade.gov Peru e-mobility note; AAP sales reporting; Peru charging commentary. </w:t>
            </w:r>
            <w:hyperlink r:id="rId27">
              <w:r>
                <w:rPr>
                  <w:rStyle w:val="Hyperlink"/>
                </w:rPr>
                <w:t>[22]</w:t>
              </w:r>
            </w:hyperlink>
          </w:p>
        </w:tc>
        <w:tc>
          <w:tcPr>
            <w:tcW w:w="0" w:type="auto"/>
          </w:tcPr>
          <w:p w14:paraId="4A4E1E2C" w14:textId="77777777" w:rsidR="0075685C" w:rsidRDefault="00000000">
            <w:pPr>
              <w:pStyle w:val="Compact"/>
            </w:pPr>
            <w:r>
              <w:t xml:space="preserve">Peru’s electrified light-vehicle segment reached </w:t>
            </w:r>
            <w:r>
              <w:rPr>
                <w:b/>
                <w:bCs/>
              </w:rPr>
              <w:t>3.9% market penetration by November 2024</w:t>
            </w:r>
            <w:r>
              <w:t xml:space="preserve">, but charging remained very limited—one cited industry source put the network at </w:t>
            </w:r>
            <w:r>
              <w:rPr>
                <w:b/>
                <w:bCs/>
              </w:rPr>
              <w:t>58 stations</w:t>
            </w:r>
            <w:r>
              <w:t xml:space="preserve">, only </w:t>
            </w:r>
            <w:r>
              <w:rPr>
                <w:b/>
                <w:bCs/>
              </w:rPr>
              <w:t>8</w:t>
            </w:r>
            <w:r>
              <w:t xml:space="preserve"> of them fast. That points to PHEVs being used materially, but not predominantly, in electric mode.</w:t>
            </w:r>
          </w:p>
        </w:tc>
      </w:tr>
      <w:tr w:rsidR="0075685C" w14:paraId="63C3B92E" w14:textId="77777777">
        <w:tblPrEx>
          <w:jc w:val="left"/>
          <w:tblLook w:val="0020" w:firstRow="1" w:lastRow="0" w:firstColumn="0" w:lastColumn="0" w:noHBand="0" w:noVBand="0"/>
        </w:tblPrEx>
        <w:tc>
          <w:tcPr>
            <w:tcW w:w="0" w:type="auto"/>
          </w:tcPr>
          <w:p w14:paraId="3BE80F85" w14:textId="77777777" w:rsidR="0075685C" w:rsidRDefault="00000000">
            <w:pPr>
              <w:pStyle w:val="Compact"/>
            </w:pPr>
            <w:r>
              <w:t>15_PHL</w:t>
            </w:r>
          </w:p>
        </w:tc>
        <w:tc>
          <w:tcPr>
            <w:tcW w:w="0" w:type="auto"/>
          </w:tcPr>
          <w:p w14:paraId="50A83709" w14:textId="77777777" w:rsidR="0075685C" w:rsidRDefault="00000000">
            <w:pPr>
              <w:pStyle w:val="Compact"/>
            </w:pPr>
            <w:r>
              <w:t>Philippines</w:t>
            </w:r>
          </w:p>
        </w:tc>
        <w:tc>
          <w:tcPr>
            <w:tcW w:w="0" w:type="auto"/>
          </w:tcPr>
          <w:p w14:paraId="60542650" w14:textId="77777777" w:rsidR="0075685C" w:rsidRDefault="00000000">
            <w:pPr>
              <w:pStyle w:val="Compact"/>
              <w:jc w:val="right"/>
            </w:pPr>
            <w:r>
              <w:rPr>
                <w:b/>
                <w:bCs/>
              </w:rPr>
              <w:t>35%</w:t>
            </w:r>
            <w:r>
              <w:t xml:space="preserve"> (22–</w:t>
            </w:r>
            <w:r>
              <w:lastRenderedPageBreak/>
              <w:t>48)</w:t>
            </w:r>
          </w:p>
        </w:tc>
        <w:tc>
          <w:tcPr>
            <w:tcW w:w="0" w:type="auto"/>
          </w:tcPr>
          <w:p w14:paraId="174EC74C" w14:textId="77777777" w:rsidR="0075685C" w:rsidRDefault="00000000">
            <w:pPr>
              <w:pStyle w:val="Compact"/>
              <w:jc w:val="right"/>
            </w:pPr>
            <w:r>
              <w:lastRenderedPageBreak/>
              <w:t>2025</w:t>
            </w:r>
          </w:p>
        </w:tc>
        <w:tc>
          <w:tcPr>
            <w:tcW w:w="0" w:type="auto"/>
          </w:tcPr>
          <w:p w14:paraId="4440683B" w14:textId="77777777" w:rsidR="0075685C" w:rsidRDefault="00000000">
            <w:pPr>
              <w:pStyle w:val="Compact"/>
            </w:pPr>
            <w:r>
              <w:t xml:space="preserve">DOE/PIA charging </w:t>
            </w:r>
            <w:r>
              <w:lastRenderedPageBreak/>
              <w:t xml:space="preserve">updates; DOE EVCS provider registry; tariff-extension policy. </w:t>
            </w:r>
            <w:hyperlink r:id="rId28">
              <w:r>
                <w:rPr>
                  <w:rStyle w:val="Hyperlink"/>
                </w:rPr>
                <w:t>[23]</w:t>
              </w:r>
            </w:hyperlink>
          </w:p>
        </w:tc>
        <w:tc>
          <w:tcPr>
            <w:tcW w:w="0" w:type="auto"/>
          </w:tcPr>
          <w:p w14:paraId="75EB6D0E" w14:textId="77777777" w:rsidR="0075685C" w:rsidRDefault="00000000">
            <w:pPr>
              <w:pStyle w:val="Compact"/>
            </w:pPr>
            <w:r>
              <w:lastRenderedPageBreak/>
              <w:t xml:space="preserve">The Philippines has </w:t>
            </w:r>
            <w:r>
              <w:lastRenderedPageBreak/>
              <w:t xml:space="preserve">supportive tariff policy and urban driving conditions that could favour PHEVs, but charging remains far below long-run need. DOE-linked reporting put the public network at </w:t>
            </w:r>
            <w:r>
              <w:rPr>
                <w:b/>
                <w:bCs/>
              </w:rPr>
              <w:t>912 publicly accessible charging stations</w:t>
            </w:r>
            <w:r>
              <w:t xml:space="preserve"> by end-March 2025, while broader EV stock was around </w:t>
            </w:r>
            <w:r>
              <w:rPr>
                <w:b/>
                <w:bCs/>
              </w:rPr>
              <w:t>9,000</w:t>
            </w:r>
            <w:r>
              <w:t>, not PHEV-specific.</w:t>
            </w:r>
          </w:p>
        </w:tc>
      </w:tr>
      <w:tr w:rsidR="0075685C" w14:paraId="60B988B4" w14:textId="77777777">
        <w:tblPrEx>
          <w:jc w:val="left"/>
          <w:tblLook w:val="0020" w:firstRow="1" w:lastRow="0" w:firstColumn="0" w:lastColumn="0" w:noHBand="0" w:noVBand="0"/>
        </w:tblPrEx>
        <w:tc>
          <w:tcPr>
            <w:tcW w:w="0" w:type="auto"/>
          </w:tcPr>
          <w:p w14:paraId="66A406BB" w14:textId="77777777" w:rsidR="0075685C" w:rsidRDefault="00000000">
            <w:pPr>
              <w:pStyle w:val="Compact"/>
            </w:pPr>
            <w:r>
              <w:lastRenderedPageBreak/>
              <w:t>16_RUS</w:t>
            </w:r>
          </w:p>
        </w:tc>
        <w:tc>
          <w:tcPr>
            <w:tcW w:w="0" w:type="auto"/>
          </w:tcPr>
          <w:p w14:paraId="3DA318CA" w14:textId="77777777" w:rsidR="0075685C" w:rsidRDefault="00000000">
            <w:pPr>
              <w:pStyle w:val="Compact"/>
            </w:pPr>
            <w:r>
              <w:t>Russia</w:t>
            </w:r>
          </w:p>
        </w:tc>
        <w:tc>
          <w:tcPr>
            <w:tcW w:w="0" w:type="auto"/>
          </w:tcPr>
          <w:p w14:paraId="34FAC397" w14:textId="77777777" w:rsidR="0075685C" w:rsidRDefault="00000000">
            <w:pPr>
              <w:pStyle w:val="Compact"/>
              <w:jc w:val="right"/>
            </w:pPr>
            <w:r>
              <w:rPr>
                <w:b/>
                <w:bCs/>
              </w:rPr>
              <w:t>18%</w:t>
            </w:r>
            <w:r>
              <w:t xml:space="preserve"> (8–32)</w:t>
            </w:r>
          </w:p>
        </w:tc>
        <w:tc>
          <w:tcPr>
            <w:tcW w:w="0" w:type="auto"/>
          </w:tcPr>
          <w:p w14:paraId="132E5944" w14:textId="77777777" w:rsidR="0075685C" w:rsidRDefault="00000000">
            <w:pPr>
              <w:pStyle w:val="Compact"/>
              <w:jc w:val="right"/>
            </w:pPr>
            <w:r>
              <w:t>2024</w:t>
            </w:r>
          </w:p>
        </w:tc>
        <w:tc>
          <w:tcPr>
            <w:tcW w:w="0" w:type="auto"/>
          </w:tcPr>
          <w:p w14:paraId="74233E45" w14:textId="77777777" w:rsidR="0075685C" w:rsidRDefault="00000000">
            <w:pPr>
              <w:pStyle w:val="Compact"/>
            </w:pPr>
            <w:r>
              <w:t xml:space="preserve">No robust recent local PHEV UF evidence found; anchored to cross-market utilisation literature. </w:t>
            </w:r>
            <w:hyperlink r:id="rId29">
              <w:r>
                <w:rPr>
                  <w:rStyle w:val="Hyperlink"/>
                </w:rPr>
                <w:t>[24]</w:t>
              </w:r>
            </w:hyperlink>
          </w:p>
        </w:tc>
        <w:tc>
          <w:tcPr>
            <w:tcW w:w="0" w:type="auto"/>
          </w:tcPr>
          <w:p w14:paraId="0718E298" w14:textId="77777777" w:rsidR="0075685C" w:rsidRDefault="00000000">
            <w:pPr>
              <w:pStyle w:val="Compact"/>
            </w:pPr>
            <w:r>
              <w:t>This is a conservative proxy. Recent English-language official evidence on Russia’s PHEV stock, sales mix, and charging behaviour was not robustly accessible in this review, so I apply a low central estimate and a wide range rather than pretending precision.</w:t>
            </w:r>
          </w:p>
        </w:tc>
      </w:tr>
      <w:tr w:rsidR="0075685C" w14:paraId="7F403A4F" w14:textId="77777777">
        <w:tblPrEx>
          <w:jc w:val="left"/>
          <w:tblLook w:val="0020" w:firstRow="1" w:lastRow="0" w:firstColumn="0" w:lastColumn="0" w:noHBand="0" w:noVBand="0"/>
        </w:tblPrEx>
        <w:tc>
          <w:tcPr>
            <w:tcW w:w="0" w:type="auto"/>
          </w:tcPr>
          <w:p w14:paraId="48BE5707" w14:textId="77777777" w:rsidR="0075685C" w:rsidRDefault="00000000">
            <w:pPr>
              <w:pStyle w:val="Compact"/>
            </w:pPr>
            <w:r>
              <w:t>17_SGP</w:t>
            </w:r>
          </w:p>
        </w:tc>
        <w:tc>
          <w:tcPr>
            <w:tcW w:w="0" w:type="auto"/>
          </w:tcPr>
          <w:p w14:paraId="491D8820" w14:textId="77777777" w:rsidR="0075685C" w:rsidRDefault="00000000">
            <w:pPr>
              <w:pStyle w:val="Compact"/>
            </w:pPr>
            <w:r>
              <w:t>Singapore</w:t>
            </w:r>
          </w:p>
        </w:tc>
        <w:tc>
          <w:tcPr>
            <w:tcW w:w="0" w:type="auto"/>
          </w:tcPr>
          <w:p w14:paraId="0CFC12A3" w14:textId="77777777" w:rsidR="0075685C" w:rsidRDefault="00000000">
            <w:pPr>
              <w:pStyle w:val="Compact"/>
              <w:jc w:val="right"/>
            </w:pPr>
            <w:r>
              <w:rPr>
                <w:b/>
                <w:bCs/>
              </w:rPr>
              <w:t>58%</w:t>
            </w:r>
            <w:r>
              <w:t xml:space="preserve"> (48–66)</w:t>
            </w:r>
          </w:p>
        </w:tc>
        <w:tc>
          <w:tcPr>
            <w:tcW w:w="0" w:type="auto"/>
          </w:tcPr>
          <w:p w14:paraId="3D63B6FB" w14:textId="77777777" w:rsidR="0075685C" w:rsidRDefault="00000000">
            <w:pPr>
              <w:pStyle w:val="Compact"/>
              <w:jc w:val="right"/>
            </w:pPr>
            <w:r>
              <w:t>2025</w:t>
            </w:r>
          </w:p>
        </w:tc>
        <w:tc>
          <w:tcPr>
            <w:tcW w:w="0" w:type="auto"/>
          </w:tcPr>
          <w:p w14:paraId="356F84C4" w14:textId="77777777" w:rsidR="0075685C" w:rsidRDefault="00000000">
            <w:pPr>
              <w:pStyle w:val="Compact"/>
            </w:pPr>
            <w:r>
              <w:t xml:space="preserve">LTA annual vehicle statistics; MOT/LTA EV roadmap; PowerEVeryMove dashboard. </w:t>
            </w:r>
            <w:hyperlink r:id="rId30">
              <w:r>
                <w:rPr>
                  <w:rStyle w:val="Hyperlink"/>
                </w:rPr>
                <w:t>[25]</w:t>
              </w:r>
            </w:hyperlink>
          </w:p>
        </w:tc>
        <w:tc>
          <w:tcPr>
            <w:tcW w:w="0" w:type="auto"/>
          </w:tcPr>
          <w:p w14:paraId="124514EB" w14:textId="77777777" w:rsidR="0075685C" w:rsidRDefault="00000000">
            <w:pPr>
              <w:pStyle w:val="Compact"/>
            </w:pPr>
            <w:r>
              <w:t xml:space="preserve">Singapore’s travel pattern is almost ideal for PHEVs: short daily trips and dense charging rollout. Official sources show </w:t>
            </w:r>
            <w:r>
              <w:rPr>
                <w:b/>
                <w:bCs/>
              </w:rPr>
              <w:t>2,449 PHEVs in the vehicle population in 2025</w:t>
            </w:r>
            <w:r>
              <w:t xml:space="preserve">, more than </w:t>
            </w:r>
            <w:r>
              <w:rPr>
                <w:b/>
                <w:bCs/>
              </w:rPr>
              <w:t>19,000 charging points installed</w:t>
            </w:r>
            <w:r>
              <w:t xml:space="preserve">, and charging deployed in </w:t>
            </w:r>
            <w:r>
              <w:rPr>
                <w:b/>
                <w:bCs/>
              </w:rPr>
              <w:t xml:space="preserve">over 90% of HDB </w:t>
            </w:r>
            <w:r>
              <w:rPr>
                <w:b/>
                <w:bCs/>
              </w:rPr>
              <w:lastRenderedPageBreak/>
              <w:t>carparks</w:t>
            </w:r>
            <w:r>
              <w:t xml:space="preserve"> by end-2025.</w:t>
            </w:r>
          </w:p>
        </w:tc>
      </w:tr>
      <w:tr w:rsidR="0075685C" w14:paraId="6AED9858" w14:textId="77777777">
        <w:tblPrEx>
          <w:jc w:val="left"/>
          <w:tblLook w:val="0020" w:firstRow="1" w:lastRow="0" w:firstColumn="0" w:lastColumn="0" w:noHBand="0" w:noVBand="0"/>
        </w:tblPrEx>
        <w:tc>
          <w:tcPr>
            <w:tcW w:w="0" w:type="auto"/>
          </w:tcPr>
          <w:p w14:paraId="5E09D8B7" w14:textId="77777777" w:rsidR="0075685C" w:rsidRDefault="00000000">
            <w:pPr>
              <w:pStyle w:val="Compact"/>
            </w:pPr>
            <w:r>
              <w:lastRenderedPageBreak/>
              <w:t>18_CT</w:t>
            </w:r>
          </w:p>
        </w:tc>
        <w:tc>
          <w:tcPr>
            <w:tcW w:w="0" w:type="auto"/>
          </w:tcPr>
          <w:p w14:paraId="3ACBD39A" w14:textId="77777777" w:rsidR="0075685C" w:rsidRDefault="00000000">
            <w:pPr>
              <w:pStyle w:val="Compact"/>
            </w:pPr>
            <w:r>
              <w:t>Chinese Taipei</w:t>
            </w:r>
          </w:p>
        </w:tc>
        <w:tc>
          <w:tcPr>
            <w:tcW w:w="0" w:type="auto"/>
          </w:tcPr>
          <w:p w14:paraId="38817CBC" w14:textId="77777777" w:rsidR="0075685C" w:rsidRDefault="00000000">
            <w:pPr>
              <w:pStyle w:val="Compact"/>
              <w:jc w:val="right"/>
            </w:pPr>
            <w:r>
              <w:rPr>
                <w:b/>
                <w:bCs/>
              </w:rPr>
              <w:t>50%</w:t>
            </w:r>
            <w:r>
              <w:t xml:space="preserve"> (38–60)</w:t>
            </w:r>
          </w:p>
        </w:tc>
        <w:tc>
          <w:tcPr>
            <w:tcW w:w="0" w:type="auto"/>
          </w:tcPr>
          <w:p w14:paraId="5A9AFE34" w14:textId="77777777" w:rsidR="0075685C" w:rsidRDefault="00000000">
            <w:pPr>
              <w:pStyle w:val="Compact"/>
              <w:jc w:val="right"/>
            </w:pPr>
            <w:r>
              <w:t>2024</w:t>
            </w:r>
          </w:p>
        </w:tc>
        <w:tc>
          <w:tcPr>
            <w:tcW w:w="0" w:type="auto"/>
          </w:tcPr>
          <w:p w14:paraId="0716FCCB" w14:textId="77777777" w:rsidR="0075685C" w:rsidRDefault="00000000">
            <w:pPr>
              <w:pStyle w:val="Compact"/>
            </w:pPr>
            <w:r>
              <w:t xml:space="preserve">U.S. Trade.gov Taiwan EV note; Taiwan policy commentary; NTU policy summary. </w:t>
            </w:r>
            <w:hyperlink r:id="rId31">
              <w:r>
                <w:rPr>
                  <w:rStyle w:val="Hyperlink"/>
                </w:rPr>
                <w:t>[26]</w:t>
              </w:r>
            </w:hyperlink>
          </w:p>
        </w:tc>
        <w:tc>
          <w:tcPr>
            <w:tcW w:w="0" w:type="auto"/>
          </w:tcPr>
          <w:p w14:paraId="17EC9A71" w14:textId="77777777" w:rsidR="0075685C" w:rsidRDefault="00000000">
            <w:pPr>
              <w:pStyle w:val="Compact"/>
            </w:pPr>
            <w:r>
              <w:t>Chinese Taipei lacks good recent English-language PHEV-specific utilisation evidence, so this is an interpolation rather than a direct estimate. The market is clearly more advanced than early-stage ASEAN peers, but the public documentation is not rich enough to justify a PRC-, Singapore-, or Korea-level central value.</w:t>
            </w:r>
          </w:p>
        </w:tc>
      </w:tr>
      <w:tr w:rsidR="0075685C" w14:paraId="7D8F2580" w14:textId="77777777">
        <w:tblPrEx>
          <w:jc w:val="left"/>
          <w:tblLook w:val="0020" w:firstRow="1" w:lastRow="0" w:firstColumn="0" w:lastColumn="0" w:noHBand="0" w:noVBand="0"/>
        </w:tblPrEx>
        <w:tc>
          <w:tcPr>
            <w:tcW w:w="0" w:type="auto"/>
          </w:tcPr>
          <w:p w14:paraId="37FA6A1F" w14:textId="77777777" w:rsidR="0075685C" w:rsidRDefault="00000000">
            <w:pPr>
              <w:pStyle w:val="Compact"/>
            </w:pPr>
            <w:r>
              <w:t>19_THA</w:t>
            </w:r>
          </w:p>
        </w:tc>
        <w:tc>
          <w:tcPr>
            <w:tcW w:w="0" w:type="auto"/>
          </w:tcPr>
          <w:p w14:paraId="1CC5EE5F" w14:textId="77777777" w:rsidR="0075685C" w:rsidRDefault="00000000">
            <w:pPr>
              <w:pStyle w:val="Compact"/>
            </w:pPr>
            <w:r>
              <w:t>Thailand</w:t>
            </w:r>
          </w:p>
        </w:tc>
        <w:tc>
          <w:tcPr>
            <w:tcW w:w="0" w:type="auto"/>
          </w:tcPr>
          <w:p w14:paraId="70567472" w14:textId="77777777" w:rsidR="0075685C" w:rsidRDefault="00000000">
            <w:pPr>
              <w:pStyle w:val="Compact"/>
              <w:jc w:val="right"/>
            </w:pPr>
            <w:r>
              <w:rPr>
                <w:b/>
                <w:bCs/>
              </w:rPr>
              <w:t>47%</w:t>
            </w:r>
            <w:r>
              <w:t xml:space="preserve"> (36–58)</w:t>
            </w:r>
          </w:p>
        </w:tc>
        <w:tc>
          <w:tcPr>
            <w:tcW w:w="0" w:type="auto"/>
          </w:tcPr>
          <w:p w14:paraId="3FBE339F" w14:textId="77777777" w:rsidR="0075685C" w:rsidRDefault="00000000">
            <w:pPr>
              <w:pStyle w:val="Compact"/>
              <w:jc w:val="right"/>
            </w:pPr>
            <w:r>
              <w:t>2024</w:t>
            </w:r>
          </w:p>
        </w:tc>
        <w:tc>
          <w:tcPr>
            <w:tcW w:w="0" w:type="auto"/>
          </w:tcPr>
          <w:p w14:paraId="7ECF3E7D" w14:textId="77777777" w:rsidR="0075685C" w:rsidRDefault="00000000">
            <w:pPr>
              <w:pStyle w:val="Compact"/>
            </w:pPr>
            <w:r>
              <w:t xml:space="preserve">Thailand charging-index data; Thai PHEV tax-incentive news; IEA 2026 Southeast Asia market discussion. </w:t>
            </w:r>
            <w:hyperlink r:id="rId32">
              <w:r>
                <w:rPr>
                  <w:rStyle w:val="Hyperlink"/>
                </w:rPr>
                <w:t>[27]</w:t>
              </w:r>
            </w:hyperlink>
          </w:p>
        </w:tc>
        <w:tc>
          <w:tcPr>
            <w:tcW w:w="0" w:type="auto"/>
          </w:tcPr>
          <w:p w14:paraId="6F9D388B" w14:textId="77777777" w:rsidR="0075685C" w:rsidRDefault="00000000">
            <w:pPr>
              <w:pStyle w:val="Compact"/>
            </w:pPr>
            <w:r>
              <w:t>Thailand’s central estimate benefits from growing charger density—</w:t>
            </w:r>
            <w:r>
              <w:rPr>
                <w:b/>
                <w:bCs/>
              </w:rPr>
              <w:t>11,467 charging points as of December 2024</w:t>
            </w:r>
            <w:r>
              <w:t xml:space="preserve"> in one cited expert source—and a policy shift toward favourable taxation for </w:t>
            </w:r>
            <w:r>
              <w:rPr>
                <w:b/>
                <w:bCs/>
              </w:rPr>
              <w:t>longer-range PHEVs</w:t>
            </w:r>
            <w:r>
              <w:t xml:space="preserve"> from 2026. That said, infrastructure is still not dense enough nationwide for a top-tier estimate.</w:t>
            </w:r>
          </w:p>
        </w:tc>
      </w:tr>
      <w:tr w:rsidR="0075685C" w14:paraId="7E3516E6" w14:textId="77777777">
        <w:tblPrEx>
          <w:jc w:val="left"/>
          <w:tblLook w:val="0020" w:firstRow="1" w:lastRow="0" w:firstColumn="0" w:lastColumn="0" w:noHBand="0" w:noVBand="0"/>
        </w:tblPrEx>
        <w:tc>
          <w:tcPr>
            <w:tcW w:w="0" w:type="auto"/>
          </w:tcPr>
          <w:p w14:paraId="779EAD30" w14:textId="77777777" w:rsidR="0075685C" w:rsidRDefault="00000000">
            <w:pPr>
              <w:pStyle w:val="Compact"/>
            </w:pPr>
            <w:r>
              <w:t>20_USA</w:t>
            </w:r>
          </w:p>
        </w:tc>
        <w:tc>
          <w:tcPr>
            <w:tcW w:w="0" w:type="auto"/>
          </w:tcPr>
          <w:p w14:paraId="1D66F6DC" w14:textId="77777777" w:rsidR="0075685C" w:rsidRDefault="00000000">
            <w:pPr>
              <w:pStyle w:val="Compact"/>
            </w:pPr>
            <w:r>
              <w:t>United States</w:t>
            </w:r>
          </w:p>
        </w:tc>
        <w:tc>
          <w:tcPr>
            <w:tcW w:w="0" w:type="auto"/>
          </w:tcPr>
          <w:p w14:paraId="12192978" w14:textId="77777777" w:rsidR="0075685C" w:rsidRDefault="00000000">
            <w:pPr>
              <w:pStyle w:val="Compact"/>
              <w:jc w:val="right"/>
            </w:pPr>
            <w:r>
              <w:rPr>
                <w:b/>
                <w:bCs/>
              </w:rPr>
              <w:t>42%</w:t>
            </w:r>
            <w:r>
              <w:t xml:space="preserve"> (34–50)</w:t>
            </w:r>
          </w:p>
        </w:tc>
        <w:tc>
          <w:tcPr>
            <w:tcW w:w="0" w:type="auto"/>
          </w:tcPr>
          <w:p w14:paraId="6A58A85F" w14:textId="77777777" w:rsidR="0075685C" w:rsidRDefault="00000000">
            <w:pPr>
              <w:pStyle w:val="Compact"/>
              <w:jc w:val="right"/>
            </w:pPr>
            <w:r>
              <w:t>2024</w:t>
            </w:r>
          </w:p>
        </w:tc>
        <w:tc>
          <w:tcPr>
            <w:tcW w:w="0" w:type="auto"/>
          </w:tcPr>
          <w:p w14:paraId="66404529" w14:textId="77777777" w:rsidR="0075685C" w:rsidRDefault="00000000">
            <w:pPr>
              <w:pStyle w:val="Compact"/>
            </w:pPr>
            <w:r>
              <w:t xml:space="preserve">ICCT US real-world PHEV study; California/UF evidence; AFDC PHEV range guidance. </w:t>
            </w:r>
            <w:hyperlink r:id="rId33">
              <w:r>
                <w:rPr>
                  <w:rStyle w:val="Hyperlink"/>
                </w:rPr>
                <w:t>[28]</w:t>
              </w:r>
            </w:hyperlink>
          </w:p>
        </w:tc>
        <w:tc>
          <w:tcPr>
            <w:tcW w:w="0" w:type="auto"/>
          </w:tcPr>
          <w:p w14:paraId="4AAA3160" w14:textId="77777777" w:rsidR="0075685C" w:rsidRDefault="00000000">
            <w:pPr>
              <w:pStyle w:val="Compact"/>
            </w:pPr>
            <w:r>
              <w:t xml:space="preserve">The US estimate is anchored directly in empirical evidence. ICCT finds real-world electric drive share </w:t>
            </w:r>
            <w:r>
              <w:rPr>
                <w:b/>
                <w:bCs/>
              </w:rPr>
              <w:t>26%–56% lower</w:t>
            </w:r>
            <w:r>
              <w:t xml:space="preserve"> than EPA label </w:t>
            </w:r>
            <w:r>
              <w:lastRenderedPageBreak/>
              <w:t xml:space="preserve">assumptions, and the adjusted curves imply that </w:t>
            </w:r>
            <w:r>
              <w:rPr>
                <w:b/>
                <w:bCs/>
              </w:rPr>
              <w:t>50%</w:t>
            </w:r>
            <w:r>
              <w:t xml:space="preserve"> electric driving is not typically reached until </w:t>
            </w:r>
            <w:r>
              <w:rPr>
                <w:b/>
                <w:bCs/>
              </w:rPr>
              <w:t>41–57 miles</w:t>
            </w:r>
            <w:r>
              <w:t xml:space="preserve"> of charge-depleting range—well above many mainstream PHEV ranges.</w:t>
            </w:r>
          </w:p>
        </w:tc>
      </w:tr>
      <w:tr w:rsidR="0075685C" w14:paraId="685CDAB2" w14:textId="77777777">
        <w:tblPrEx>
          <w:jc w:val="left"/>
          <w:tblLook w:val="0020" w:firstRow="1" w:lastRow="0" w:firstColumn="0" w:lastColumn="0" w:noHBand="0" w:noVBand="0"/>
        </w:tblPrEx>
        <w:tc>
          <w:tcPr>
            <w:tcW w:w="0" w:type="auto"/>
          </w:tcPr>
          <w:p w14:paraId="55BC6C64" w14:textId="77777777" w:rsidR="0075685C" w:rsidRDefault="00000000">
            <w:pPr>
              <w:pStyle w:val="Compact"/>
            </w:pPr>
            <w:r>
              <w:lastRenderedPageBreak/>
              <w:t>21_VN</w:t>
            </w:r>
          </w:p>
        </w:tc>
        <w:tc>
          <w:tcPr>
            <w:tcW w:w="0" w:type="auto"/>
          </w:tcPr>
          <w:p w14:paraId="38971577" w14:textId="77777777" w:rsidR="0075685C" w:rsidRDefault="00000000">
            <w:pPr>
              <w:pStyle w:val="Compact"/>
            </w:pPr>
            <w:r>
              <w:t>Viet Nam</w:t>
            </w:r>
          </w:p>
        </w:tc>
        <w:tc>
          <w:tcPr>
            <w:tcW w:w="0" w:type="auto"/>
          </w:tcPr>
          <w:p w14:paraId="171F479B" w14:textId="77777777" w:rsidR="0075685C" w:rsidRDefault="00000000">
            <w:pPr>
              <w:pStyle w:val="Compact"/>
              <w:jc w:val="right"/>
            </w:pPr>
            <w:r>
              <w:rPr>
                <w:b/>
                <w:bCs/>
              </w:rPr>
              <w:t>37%</w:t>
            </w:r>
            <w:r>
              <w:t xml:space="preserve"> (26–50)</w:t>
            </w:r>
          </w:p>
        </w:tc>
        <w:tc>
          <w:tcPr>
            <w:tcW w:w="0" w:type="auto"/>
          </w:tcPr>
          <w:p w14:paraId="260AC2D4" w14:textId="77777777" w:rsidR="0075685C" w:rsidRDefault="00000000">
            <w:pPr>
              <w:pStyle w:val="Compact"/>
              <w:jc w:val="right"/>
            </w:pPr>
            <w:r>
              <w:t>2025</w:t>
            </w:r>
          </w:p>
        </w:tc>
        <w:tc>
          <w:tcPr>
            <w:tcW w:w="0" w:type="auto"/>
          </w:tcPr>
          <w:p w14:paraId="05E0F75E" w14:textId="77777777" w:rsidR="0075685C" w:rsidRDefault="00000000">
            <w:pPr>
              <w:pStyle w:val="Compact"/>
            </w:pPr>
            <w:r>
              <w:t xml:space="preserve">Reuters on Vietnam charging subsidies and network size; V-Green/VinFast infrastructure reporting; Vietnam EV market summaries. </w:t>
            </w:r>
            <w:hyperlink r:id="rId34">
              <w:r>
                <w:rPr>
                  <w:rStyle w:val="Hyperlink"/>
                </w:rPr>
                <w:t>[29]</w:t>
              </w:r>
            </w:hyperlink>
          </w:p>
        </w:tc>
        <w:tc>
          <w:tcPr>
            <w:tcW w:w="0" w:type="auto"/>
          </w:tcPr>
          <w:p w14:paraId="227E750B" w14:textId="77777777" w:rsidR="0075685C" w:rsidRDefault="00000000">
            <w:pPr>
              <w:pStyle w:val="Compact"/>
            </w:pPr>
            <w:r>
              <w:t xml:space="preserve">Viet Nam now has substantial charging infrastructure—Reuters reported </w:t>
            </w:r>
            <w:r>
              <w:rPr>
                <w:b/>
                <w:bCs/>
              </w:rPr>
              <w:t>more than 150,000 charging ports</w:t>
            </w:r>
            <w:r>
              <w:t>, largely associated with VinFast—but the PHEV market itself remains niche and evidence on actual PHEV charging behaviour is weak. I therefore place Viet Nam above the weakest ASEAN cases, but below charger-rich city-states.</w:t>
            </w:r>
          </w:p>
        </w:tc>
      </w:tr>
    </w:tbl>
    <w:p w14:paraId="4D3EC53E" w14:textId="77777777" w:rsidR="0075685C" w:rsidRDefault="00000000">
      <w:pPr>
        <w:pStyle w:val="BodyText"/>
      </w:pPr>
      <w:r>
        <w:rPr>
          <w:b/>
          <w:bCs/>
        </w:rPr>
        <w:t>Interpretation note:</w:t>
      </w:r>
      <w:r>
        <w:t xml:space="preserve"> the percentages above are </w:t>
      </w:r>
      <w:r>
        <w:rPr>
          <w:b/>
          <w:bCs/>
        </w:rPr>
        <w:t>synthetic “best central estimates” of electric-VKT share</w:t>
      </w:r>
      <w:r>
        <w:t>, not official measured utility factors. The uncertainty range reflects source quality and market heterogeneity, especially whether the accessible evidence is direct, indirect, or proxy-based.</w:t>
      </w:r>
    </w:p>
    <w:p w14:paraId="7C21A88C" w14:textId="77777777" w:rsidR="0075685C" w:rsidRDefault="00000000">
      <w:pPr>
        <w:pStyle w:val="Heading2"/>
      </w:pPr>
      <w:bookmarkStart w:id="6" w:name="csv-content-blocks"/>
      <w:bookmarkEnd w:id="5"/>
      <w:r>
        <w:t>CSV content blocks</w:t>
      </w:r>
    </w:p>
    <w:p w14:paraId="324BF893" w14:textId="77777777" w:rsidR="0075685C" w:rsidRDefault="00000000">
      <w:pPr>
        <w:pStyle w:val="FirstParagraph"/>
      </w:pPr>
      <w:r>
        <w:t>The files below are deliberately compact. They contain the core estimate plus simple metadata fields designed for easy import into a spreadsheet or modelling pipeline.</w:t>
      </w:r>
    </w:p>
    <w:p w14:paraId="278BE0AB" w14:textId="77777777" w:rsidR="0075685C" w:rsidRDefault="00000000">
      <w:pPr>
        <w:pStyle w:val="BodyText"/>
      </w:pPr>
      <w:r>
        <w:rPr>
          <w:b/>
          <w:bCs/>
        </w:rPr>
        <w:t>01_AUS.csv</w:t>
      </w:r>
    </w:p>
    <w:p w14:paraId="3C36BB9D"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01_AUS,Australia,2024,52,42,62,B,synthetic_estimate</w:t>
      </w:r>
    </w:p>
    <w:p w14:paraId="1AC8586B" w14:textId="77777777" w:rsidR="0075685C" w:rsidRDefault="00000000">
      <w:pPr>
        <w:pStyle w:val="FirstParagraph"/>
      </w:pPr>
      <w:r>
        <w:rPr>
          <w:b/>
          <w:bCs/>
        </w:rPr>
        <w:lastRenderedPageBreak/>
        <w:t>02_BD.csv</w:t>
      </w:r>
    </w:p>
    <w:p w14:paraId="12F4C74F"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02_BD,Brunei Darussalam,2025,34,18,52,D,synthetic_estimate</w:t>
      </w:r>
    </w:p>
    <w:p w14:paraId="538ECB49" w14:textId="77777777" w:rsidR="0075685C" w:rsidRDefault="00000000">
      <w:pPr>
        <w:pStyle w:val="FirstParagraph"/>
      </w:pPr>
      <w:r>
        <w:rPr>
          <w:b/>
          <w:bCs/>
        </w:rPr>
        <w:t>03_CDA.csv</w:t>
      </w:r>
    </w:p>
    <w:p w14:paraId="28198218"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03_CDA,Canada,2025,45,35,55,B,synthetic_estimate</w:t>
      </w:r>
    </w:p>
    <w:p w14:paraId="75A08CA3" w14:textId="77777777" w:rsidR="0075685C" w:rsidRDefault="00000000">
      <w:pPr>
        <w:pStyle w:val="FirstParagraph"/>
      </w:pPr>
      <w:r>
        <w:rPr>
          <w:b/>
          <w:bCs/>
        </w:rPr>
        <w:t>04_CHL.csv</w:t>
      </w:r>
    </w:p>
    <w:p w14:paraId="2B4032B7"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04_CHL,Chile,2024,40,28,52,C,synthetic_estimate</w:t>
      </w:r>
    </w:p>
    <w:p w14:paraId="58E666BA" w14:textId="77777777" w:rsidR="0075685C" w:rsidRDefault="00000000">
      <w:pPr>
        <w:pStyle w:val="FirstParagraph"/>
      </w:pPr>
      <w:r>
        <w:rPr>
          <w:b/>
          <w:bCs/>
        </w:rPr>
        <w:t>05_PRC.csv</w:t>
      </w:r>
    </w:p>
    <w:p w14:paraId="19FFDC04"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05_PRC,China,2024,64,56,72,A,synthetic_estimate</w:t>
      </w:r>
    </w:p>
    <w:p w14:paraId="07A85541" w14:textId="77777777" w:rsidR="0075685C" w:rsidRDefault="00000000">
      <w:pPr>
        <w:pStyle w:val="FirstParagraph"/>
      </w:pPr>
      <w:r>
        <w:rPr>
          <w:b/>
          <w:bCs/>
        </w:rPr>
        <w:t>06_HKC.csv</w:t>
      </w:r>
    </w:p>
    <w:p w14:paraId="5FDB633F"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06_HKC,"Hong Kong, China",2025,54,42,64,C,synthetic_estimate</w:t>
      </w:r>
    </w:p>
    <w:p w14:paraId="7E7B5068" w14:textId="77777777" w:rsidR="0075685C" w:rsidRDefault="00000000">
      <w:pPr>
        <w:pStyle w:val="FirstParagraph"/>
      </w:pPr>
      <w:r>
        <w:rPr>
          <w:b/>
          <w:bCs/>
        </w:rPr>
        <w:t>07_INA.csv</w:t>
      </w:r>
    </w:p>
    <w:p w14:paraId="5BC8B4E5"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07_INA,Indonesia,2025,38,22,52,C,synthetic_estimate</w:t>
      </w:r>
    </w:p>
    <w:p w14:paraId="3DD08CA2" w14:textId="77777777" w:rsidR="0075685C" w:rsidRDefault="00000000">
      <w:pPr>
        <w:pStyle w:val="FirstParagraph"/>
      </w:pPr>
      <w:r>
        <w:rPr>
          <w:b/>
          <w:bCs/>
        </w:rPr>
        <w:t>08_JPN.csv</w:t>
      </w:r>
    </w:p>
    <w:p w14:paraId="04AFFBB8"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08_JPN,Japan,2024,45,35,54,B,synthetic_estimate</w:t>
      </w:r>
    </w:p>
    <w:p w14:paraId="6E5885A7" w14:textId="77777777" w:rsidR="0075685C" w:rsidRDefault="00000000">
      <w:pPr>
        <w:pStyle w:val="FirstParagraph"/>
      </w:pPr>
      <w:r>
        <w:rPr>
          <w:b/>
          <w:bCs/>
        </w:rPr>
        <w:t>09_ROK.csv</w:t>
      </w:r>
    </w:p>
    <w:p w14:paraId="550C4044"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09_ROK,Korea,2024,53,44,61,B,synthetic_estimate</w:t>
      </w:r>
    </w:p>
    <w:p w14:paraId="520A606C" w14:textId="77777777" w:rsidR="0075685C" w:rsidRDefault="00000000">
      <w:pPr>
        <w:pStyle w:val="FirstParagraph"/>
      </w:pPr>
      <w:r>
        <w:rPr>
          <w:b/>
          <w:bCs/>
        </w:rPr>
        <w:t>10_MAS.csv</w:t>
      </w:r>
    </w:p>
    <w:p w14:paraId="7321E267"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10_MAS,Malaysia,2024,42,28,54,C,synthetic_estimate</w:t>
      </w:r>
    </w:p>
    <w:p w14:paraId="75F77B15" w14:textId="77777777" w:rsidR="0075685C" w:rsidRDefault="00000000">
      <w:pPr>
        <w:pStyle w:val="FirstParagraph"/>
      </w:pPr>
      <w:r>
        <w:rPr>
          <w:b/>
          <w:bCs/>
        </w:rPr>
        <w:lastRenderedPageBreak/>
        <w:t>11_MEX.csv</w:t>
      </w:r>
    </w:p>
    <w:p w14:paraId="3239C399"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11_MEX,Mexico,2025,41,30,52,C,synthetic_estimate</w:t>
      </w:r>
    </w:p>
    <w:p w14:paraId="6D119EDE" w14:textId="77777777" w:rsidR="0075685C" w:rsidRDefault="00000000">
      <w:pPr>
        <w:pStyle w:val="FirstParagraph"/>
      </w:pPr>
      <w:r>
        <w:rPr>
          <w:b/>
          <w:bCs/>
        </w:rPr>
        <w:t>12_NZ.csv</w:t>
      </w:r>
    </w:p>
    <w:p w14:paraId="5808A621"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12_NZ,New Zealand,2024,50,40,60,B,synthetic_estimate</w:t>
      </w:r>
    </w:p>
    <w:p w14:paraId="5EDA2703" w14:textId="77777777" w:rsidR="0075685C" w:rsidRDefault="00000000">
      <w:pPr>
        <w:pStyle w:val="FirstParagraph"/>
      </w:pPr>
      <w:r>
        <w:rPr>
          <w:b/>
          <w:bCs/>
        </w:rPr>
        <w:t>13_PNG.csv</w:t>
      </w:r>
    </w:p>
    <w:p w14:paraId="721794EC"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13_PNG,Papua New Guinea,2025,8,2,18,D,synthetic_estimate</w:t>
      </w:r>
    </w:p>
    <w:p w14:paraId="0DB92516" w14:textId="77777777" w:rsidR="0075685C" w:rsidRDefault="00000000">
      <w:pPr>
        <w:pStyle w:val="FirstParagraph"/>
      </w:pPr>
      <w:r>
        <w:rPr>
          <w:b/>
          <w:bCs/>
        </w:rPr>
        <w:t>14_PE.csv</w:t>
      </w:r>
    </w:p>
    <w:p w14:paraId="12D08081"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14_PE,Peru,2024,33,20,46,C,synthetic_estimate</w:t>
      </w:r>
    </w:p>
    <w:p w14:paraId="63DEA197" w14:textId="77777777" w:rsidR="0075685C" w:rsidRDefault="00000000">
      <w:pPr>
        <w:pStyle w:val="FirstParagraph"/>
      </w:pPr>
      <w:r>
        <w:rPr>
          <w:b/>
          <w:bCs/>
        </w:rPr>
        <w:t>15_PHL.csv</w:t>
      </w:r>
    </w:p>
    <w:p w14:paraId="6EE9F7B1"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15_PHL,Philippines,2025,35,22,48,C,synthetic_estimate</w:t>
      </w:r>
    </w:p>
    <w:p w14:paraId="20D03957" w14:textId="77777777" w:rsidR="0075685C" w:rsidRDefault="00000000">
      <w:pPr>
        <w:pStyle w:val="FirstParagraph"/>
      </w:pPr>
      <w:r>
        <w:rPr>
          <w:b/>
          <w:bCs/>
        </w:rPr>
        <w:t>16_RUS.csv</w:t>
      </w:r>
    </w:p>
    <w:p w14:paraId="6F3471C7"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16_RUS,Russia,2024,18,8,32,D,synthetic_estimate</w:t>
      </w:r>
    </w:p>
    <w:p w14:paraId="49FDE1D1" w14:textId="77777777" w:rsidR="0075685C" w:rsidRDefault="00000000">
      <w:pPr>
        <w:pStyle w:val="FirstParagraph"/>
      </w:pPr>
      <w:r>
        <w:rPr>
          <w:b/>
          <w:bCs/>
        </w:rPr>
        <w:t>17_SGP.csv</w:t>
      </w:r>
    </w:p>
    <w:p w14:paraId="2BCCF8F3"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17_SGP,Singapore,2025,58,48,66,B,synthetic_estimate</w:t>
      </w:r>
    </w:p>
    <w:p w14:paraId="71775CF0" w14:textId="77777777" w:rsidR="0075685C" w:rsidRDefault="00000000">
      <w:pPr>
        <w:pStyle w:val="FirstParagraph"/>
      </w:pPr>
      <w:r>
        <w:rPr>
          <w:b/>
          <w:bCs/>
        </w:rPr>
        <w:t>18_CT.csv</w:t>
      </w:r>
    </w:p>
    <w:p w14:paraId="0B355B27"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18_CT,Chinese Taipei,2024,50,38,60,C,synthetic_estimate</w:t>
      </w:r>
    </w:p>
    <w:p w14:paraId="18F6934E" w14:textId="77777777" w:rsidR="0075685C" w:rsidRDefault="00000000">
      <w:pPr>
        <w:pStyle w:val="FirstParagraph"/>
      </w:pPr>
      <w:r>
        <w:rPr>
          <w:b/>
          <w:bCs/>
        </w:rPr>
        <w:t>19_THA.csv</w:t>
      </w:r>
    </w:p>
    <w:p w14:paraId="467DCA4A"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19_THA,Thailand,2024,47,36,58,C,synthetic_estimate</w:t>
      </w:r>
    </w:p>
    <w:p w14:paraId="62C64023" w14:textId="77777777" w:rsidR="0075685C" w:rsidRDefault="00000000">
      <w:pPr>
        <w:pStyle w:val="FirstParagraph"/>
      </w:pPr>
      <w:r>
        <w:rPr>
          <w:b/>
          <w:bCs/>
        </w:rPr>
        <w:lastRenderedPageBreak/>
        <w:t>20_USA.csv</w:t>
      </w:r>
    </w:p>
    <w:p w14:paraId="6A9774F3"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20_USA,United States,2024,42,34,50,A,synthetic_estimate</w:t>
      </w:r>
    </w:p>
    <w:p w14:paraId="4F6E803E" w14:textId="77777777" w:rsidR="0075685C" w:rsidRDefault="00000000">
      <w:pPr>
        <w:pStyle w:val="FirstParagraph"/>
      </w:pPr>
      <w:r>
        <w:rPr>
          <w:b/>
          <w:bCs/>
        </w:rPr>
        <w:t>21_VN.csv</w:t>
      </w:r>
    </w:p>
    <w:p w14:paraId="5D3AAEED" w14:textId="77777777" w:rsidR="0075685C" w:rsidRDefault="00000000">
      <w:pPr>
        <w:pStyle w:val="SourceCode"/>
      </w:pPr>
      <w:r>
        <w:rPr>
          <w:rStyle w:val="VerbatimChar"/>
        </w:rPr>
        <w:t>project_code,economy,data_year,utilisation_rate_pct,lower_pct,upper_pct,evidence_grade,estimation_status</w:t>
      </w:r>
      <w:r>
        <w:br/>
      </w:r>
      <w:r>
        <w:rPr>
          <w:rStyle w:val="VerbatimChar"/>
        </w:rPr>
        <w:t>21_VN,Viet Nam,2025,37,26,50,C,synthetic_estimate</w:t>
      </w:r>
    </w:p>
    <w:p w14:paraId="2F55A339" w14:textId="77777777" w:rsidR="0075685C" w:rsidRDefault="00000000">
      <w:pPr>
        <w:pStyle w:val="Heading2"/>
      </w:pPr>
      <w:bookmarkStart w:id="7" w:name="limitations-and-recommendations"/>
      <w:bookmarkEnd w:id="6"/>
      <w:r>
        <w:t>Limitations and recommendations</w:t>
      </w:r>
    </w:p>
    <w:p w14:paraId="0363957B" w14:textId="77777777" w:rsidR="0075685C" w:rsidRDefault="00000000">
      <w:pPr>
        <w:pStyle w:val="FirstParagraph"/>
      </w:pPr>
      <w:r>
        <w:t xml:space="preserve">The central limitation is simple: </w:t>
      </w:r>
      <w:r>
        <w:rPr>
          <w:b/>
          <w:bCs/>
        </w:rPr>
        <w:t>real-world PHEV utilisation is still badly under-measured outside a handful of economies</w:t>
      </w:r>
      <w:r>
        <w:t xml:space="preserve">. China and the United States have direct or near-direct utility-factor evidence; Europe provides an important comparator; but for much of APEC, the available public evidence is still one step removed—fleet totals without PHEV splits, charger counts without power or utilisation, consumer surveys without odometer-weighted electric VKT, or policy documents with targets rather than observed behaviour. Even within stronger datasets, publication practices differ: Canada often reports </w:t>
      </w:r>
      <w:r>
        <w:rPr>
          <w:b/>
          <w:bCs/>
        </w:rPr>
        <w:t>ZEV totals</w:t>
      </w:r>
      <w:r>
        <w:t xml:space="preserve"> that combine BEVs and PHEVs, while Singapore’s official vehicle statistics explicitly separate </w:t>
      </w:r>
      <w:r>
        <w:rPr>
          <w:b/>
          <w:bCs/>
        </w:rPr>
        <w:t>petrol-electric (plug-in)</w:t>
      </w:r>
      <w:r>
        <w:t xml:space="preserve"> from other powertrains. </w:t>
      </w:r>
      <w:hyperlink r:id="rId35">
        <w:r>
          <w:rPr>
            <w:rStyle w:val="Hyperlink"/>
          </w:rPr>
          <w:t>[30]</w:t>
        </w:r>
      </w:hyperlink>
    </w:p>
    <w:p w14:paraId="1E6A4602" w14:textId="77777777" w:rsidR="0075685C" w:rsidRDefault="00000000">
      <w:pPr>
        <w:pStyle w:val="BodyText"/>
      </w:pPr>
      <w:r>
        <w:t xml:space="preserve">A second limitation is that </w:t>
      </w:r>
      <w:r>
        <w:rPr>
          <w:b/>
          <w:bCs/>
        </w:rPr>
        <w:t>charging access is multi-dimensional</w:t>
      </w:r>
      <w:r>
        <w:t xml:space="preserve">. “Public chargers” may mean providers, stations, bays, or ports; home charging may depend less on national electrification than on apartment parking rules, workplace access, and landlord approval. The Philippines illustrates the resulting inconsistency particularly clearly, with different official-linked sources referring to providers, establishments, and public charging stations rather than a harmonised physical-port count. </w:t>
      </w:r>
      <w:hyperlink r:id="rId36">
        <w:r>
          <w:rPr>
            <w:rStyle w:val="Hyperlink"/>
          </w:rPr>
          <w:t>[31]</w:t>
        </w:r>
      </w:hyperlink>
    </w:p>
    <w:p w14:paraId="6E0C88A6" w14:textId="77777777" w:rsidR="0075685C" w:rsidRDefault="00000000">
      <w:pPr>
        <w:pStyle w:val="BodyText"/>
      </w:pPr>
      <w:r>
        <w:t xml:space="preserve">The best way to improve these estimates is not more model-building but </w:t>
      </w:r>
      <w:r>
        <w:rPr>
          <w:b/>
          <w:bCs/>
        </w:rPr>
        <w:t>better in-use data collection</w:t>
      </w:r>
      <w:r>
        <w:t xml:space="preserve">. Regulators should require anonymised </w:t>
      </w:r>
      <w:r>
        <w:rPr>
          <w:b/>
          <w:bCs/>
        </w:rPr>
        <w:t>on-board fuel, electricity, and distance reporting</w:t>
      </w:r>
      <w:r>
        <w:t xml:space="preserve"> for PHEVs, because both the California evidence and the ICCT analysis show that charging behaviour is a first-order driver of real-world UF. Economies should also publish </w:t>
      </w:r>
      <w:r>
        <w:rPr>
          <w:b/>
          <w:bCs/>
        </w:rPr>
        <w:t>PHEV-specific stock and new registrations by model</w:t>
      </w:r>
      <w:r>
        <w:t xml:space="preserve">, including battery range and private/company split, because Europe’s data show how sharply utilisation diverges across those segments. Finally, transport and energy agencies should add recurring household and fleet surveys on </w:t>
      </w:r>
      <w:r>
        <w:rPr>
          <w:b/>
          <w:bCs/>
        </w:rPr>
        <w:t>home/work/public charging access</w:t>
      </w:r>
      <w:r>
        <w:t xml:space="preserve">, since the Australian and Japanese evidence both underline that home-charging convenience strongly shapes actual electric driving. </w:t>
      </w:r>
      <w:hyperlink r:id="rId37">
        <w:r>
          <w:rPr>
            <w:rStyle w:val="Hyperlink"/>
          </w:rPr>
          <w:t>[32]</w:t>
        </w:r>
      </w:hyperlink>
    </w:p>
    <w:p w14:paraId="71E344E8" w14:textId="77777777" w:rsidR="0075685C" w:rsidRDefault="00000000">
      <w:pPr>
        <w:pStyle w:val="BodyText"/>
      </w:pPr>
      <w:r>
        <w:t xml:space="preserve">On that basis, the most important recommendation is methodological as much as policy-related: </w:t>
      </w:r>
      <w:r>
        <w:rPr>
          <w:b/>
          <w:bCs/>
        </w:rPr>
        <w:t>future APEC work should treat PHEV utilisation as an observed behavioural variable, not a certification assumption</w:t>
      </w:r>
      <w:r>
        <w:t xml:space="preserve">. Until more economies publish that variable directly, the estimates in this report are best used as </w:t>
      </w:r>
      <w:r>
        <w:rPr>
          <w:b/>
          <w:bCs/>
        </w:rPr>
        <w:t>policy-grade priors</w:t>
      </w:r>
      <w:r>
        <w:t xml:space="preserve"> for modelling, </w:t>
      </w:r>
      <w:r>
        <w:lastRenderedPageBreak/>
        <w:t>scenario design, and sensitivity testing—not as substitutes for local telematics or road-use measurement.</w:t>
      </w:r>
    </w:p>
    <w:p w14:paraId="27DF1A37" w14:textId="048FCB39" w:rsidR="0059413B" w:rsidRDefault="0059413B" w:rsidP="00E82C2C">
      <w:pPr>
        <w:pStyle w:val="Heading1"/>
      </w:pPr>
      <w:r>
        <w:t>Vehicle-type adjustment for LPVs and LCVs</w:t>
      </w:r>
    </w:p>
    <w:p w14:paraId="7A5B7476" w14:textId="1B74092D" w:rsidR="0059413B" w:rsidRDefault="0059413B" w:rsidP="0059413B">
      <w:pPr>
        <w:pStyle w:val="BodyText"/>
      </w:pPr>
      <w:r>
        <w:t>The estimates above are economy-level light-duty PHEV electric-mode utilisation rates. If the model separates PHEV light passenger vehicles (LPVs) from PHEV light commercial vehicles (LCVs), the LPV value should use the economy-level central estimate directly, while the LCV value should generally be set 5 percentage points lower.</w:t>
      </w:r>
    </w:p>
    <w:p w14:paraId="267021FA" w14:textId="4D90B10E" w:rsidR="0059413B" w:rsidRDefault="0059413B" w:rsidP="0059413B">
      <w:pPr>
        <w:pStyle w:val="BodyText"/>
      </w:pPr>
      <w:r>
        <w:t>This adjustment reflects the different expected use profile of LCVs. LCVs are more likely to be used commercially, to travel longer daily distances, to carry variable payloads, and to be operated by drivers who may not personally pay for fuel or charging. These factors tend to reduce the share of kilometres that can be completed in electric mode. However, the adjustment is deliberately small because some LCVs, especially urban delivery vans, may have predictable routes and depot charging, which can support higher electric-mode use.</w:t>
      </w:r>
    </w:p>
    <w:p w14:paraId="06756372" w14:textId="42E53848" w:rsidR="0059413B" w:rsidRDefault="0059413B" w:rsidP="0059413B">
      <w:pPr>
        <w:pStyle w:val="BodyText"/>
      </w:pPr>
      <w:r>
        <w:t>For modelling purposes, the recommended default is therefore:</w:t>
      </w:r>
    </w:p>
    <w:p w14:paraId="6074C129" w14:textId="77777777" w:rsidR="0059413B" w:rsidRDefault="0059413B" w:rsidP="00E82C2C">
      <w:pPr>
        <w:pStyle w:val="BodyText"/>
        <w:numPr>
          <w:ilvl w:val="0"/>
          <w:numId w:val="2"/>
        </w:numPr>
      </w:pPr>
      <w:r>
        <w:t xml:space="preserve">LPV PHEV utilisation = economy-level PHEV utilisation rate  </w:t>
      </w:r>
    </w:p>
    <w:p w14:paraId="34F39308" w14:textId="3C68F353" w:rsidR="0059413B" w:rsidRDefault="0059413B" w:rsidP="0059413B">
      <w:pPr>
        <w:pStyle w:val="BodyText"/>
        <w:numPr>
          <w:ilvl w:val="0"/>
          <w:numId w:val="2"/>
        </w:numPr>
      </w:pPr>
      <w:r>
        <w:t>LCV PHEV utilisation = economy-level PHEV utilisation rate − 5 percentage points</w:t>
      </w:r>
    </w:p>
    <w:p w14:paraId="6603762E" w14:textId="7F5C6EA6" w:rsidR="0059413B" w:rsidRDefault="0059413B" w:rsidP="0059413B">
      <w:pPr>
        <w:pStyle w:val="BodyText"/>
      </w:pPr>
      <w:r>
        <w:t>The uncertainty range for LCVs should also be shifted down by 5 percentage points, while avoiding values below zero. This should be treated as a structural modelling assumption rather than a measured result, because the available evidence on real-world PHEV utilisation is already limited for many APEC economies and is even weaker when split by LPV versus LCV. The report’s estimates should therefore remain the primary economy-level prior, with the LPV/LCV split used only where the LEAP branch structure requires separate fuel-use assumptions.</w:t>
      </w:r>
    </w:p>
    <w:bookmarkEnd w:id="1"/>
    <w:bookmarkEnd w:id="2"/>
    <w:bookmarkEnd w:id="7"/>
    <w:p w14:paraId="36D77B2F" w14:textId="77777777" w:rsidR="0075685C" w:rsidRDefault="00000000">
      <w:r>
        <w:pict w14:anchorId="43CAA95A">
          <v:rect id="_x0000_i1028" style="width:0;height:1.5pt" o:hralign="center" o:hrstd="t" o:hr="t"/>
        </w:pict>
      </w:r>
    </w:p>
    <w:bookmarkStart w:id="8" w:name="citations"/>
    <w:p w14:paraId="039D7A24" w14:textId="77777777" w:rsidR="0075685C" w:rsidRDefault="00000000">
      <w:pPr>
        <w:pStyle w:val="FirstParagraph"/>
      </w:pPr>
      <w:r>
        <w:fldChar w:fldCharType="begin"/>
      </w:r>
      <w:r>
        <w:instrText>HYPERLINK "https://theicct.org/publication/real-world-phev-use-jun22/" \h</w:instrText>
      </w:r>
      <w:r>
        <w:fldChar w:fldCharType="separate"/>
      </w:r>
      <w:r>
        <w:rPr>
          <w:rStyle w:val="Hyperlink"/>
        </w:rPr>
        <w:t>[1]</w:t>
      </w:r>
      <w:r>
        <w:fldChar w:fldCharType="end"/>
      </w:r>
      <w:r>
        <w:t xml:space="preserve"> </w:t>
      </w:r>
      <w:hyperlink r:id="rId38">
        <w:r>
          <w:rPr>
            <w:rStyle w:val="Hyperlink"/>
          </w:rPr>
          <w:t>[5]</w:t>
        </w:r>
      </w:hyperlink>
      <w:r>
        <w:t xml:space="preserve"> </w:t>
      </w:r>
      <w:hyperlink r:id="rId39">
        <w:r>
          <w:rPr>
            <w:rStyle w:val="Hyperlink"/>
          </w:rPr>
          <w:t>[24]</w:t>
        </w:r>
      </w:hyperlink>
      <w:r>
        <w:t xml:space="preserve"> </w:t>
      </w:r>
      <w:hyperlink r:id="rId40">
        <w:r>
          <w:rPr>
            <w:rStyle w:val="Hyperlink"/>
          </w:rPr>
          <w:t>[30]</w:t>
        </w:r>
      </w:hyperlink>
      <w:r>
        <w:t xml:space="preserve"> https://theicct.org/publication/real-world-phev-use-jun22/</w:t>
      </w:r>
    </w:p>
    <w:p w14:paraId="4B63762B" w14:textId="77777777" w:rsidR="0075685C" w:rsidRDefault="00000000">
      <w:pPr>
        <w:pStyle w:val="BodyText"/>
      </w:pPr>
      <w:hyperlink r:id="rId41">
        <w:r>
          <w:rPr>
            <w:rStyle w:val="Hyperlink"/>
          </w:rPr>
          <w:t>https://theicct.org/publication/real-world-phev-use-jun22/</w:t>
        </w:r>
      </w:hyperlink>
    </w:p>
    <w:p w14:paraId="41B92736" w14:textId="77777777" w:rsidR="0075685C" w:rsidRDefault="00000000">
      <w:pPr>
        <w:pStyle w:val="BodyText"/>
      </w:pPr>
      <w:hyperlink r:id="rId42">
        <w:r>
          <w:rPr>
            <w:rStyle w:val="Hyperlink"/>
          </w:rPr>
          <w:t>[2]</w:t>
        </w:r>
      </w:hyperlink>
      <w:r>
        <w:t xml:space="preserve"> </w:t>
      </w:r>
      <w:hyperlink r:id="rId43">
        <w:r>
          <w:rPr>
            <w:rStyle w:val="Hyperlink"/>
          </w:rPr>
          <w:t>[13]</w:t>
        </w:r>
      </w:hyperlink>
      <w:r>
        <w:t xml:space="preserve"> https://www.mdpi.com/2032-6653/12/4/169</w:t>
      </w:r>
    </w:p>
    <w:p w14:paraId="7722296A" w14:textId="77777777" w:rsidR="0075685C" w:rsidRDefault="00000000">
      <w:pPr>
        <w:pStyle w:val="BodyText"/>
      </w:pPr>
      <w:hyperlink r:id="rId44">
        <w:r>
          <w:rPr>
            <w:rStyle w:val="Hyperlink"/>
          </w:rPr>
          <w:t>https://www.mdpi.com/2032-6653/12/4/169</w:t>
        </w:r>
      </w:hyperlink>
    </w:p>
    <w:p w14:paraId="749BCFCD" w14:textId="77777777" w:rsidR="0075685C" w:rsidRDefault="00000000">
      <w:pPr>
        <w:pStyle w:val="BodyText"/>
      </w:pPr>
      <w:hyperlink r:id="rId45">
        <w:r>
          <w:rPr>
            <w:rStyle w:val="Hyperlink"/>
          </w:rPr>
          <w:t>[3]</w:t>
        </w:r>
      </w:hyperlink>
      <w:r>
        <w:t xml:space="preserve"> </w:t>
      </w:r>
      <w:hyperlink r:id="rId46">
        <w:r>
          <w:rPr>
            <w:rStyle w:val="Hyperlink"/>
          </w:rPr>
          <w:t>[11]</w:t>
        </w:r>
      </w:hyperlink>
      <w:r>
        <w:t xml:space="preserve"> https://tc.canada.ca/en/road-transportation/innovative-technologies/electric-vehicles/zev-council-dashboard</w:t>
      </w:r>
    </w:p>
    <w:p w14:paraId="187FD4E6" w14:textId="77777777" w:rsidR="0075685C" w:rsidRDefault="00000000">
      <w:pPr>
        <w:pStyle w:val="BodyText"/>
      </w:pPr>
      <w:hyperlink r:id="rId47">
        <w:r>
          <w:rPr>
            <w:rStyle w:val="Hyperlink"/>
          </w:rPr>
          <w:t>https://tc.canada.ca/en/road-transportation/innovative-technologies/electric-vehicles/zev-council-dashboard</w:t>
        </w:r>
      </w:hyperlink>
    </w:p>
    <w:p w14:paraId="7B1744E8" w14:textId="77777777" w:rsidR="0075685C" w:rsidRDefault="00000000">
      <w:pPr>
        <w:pStyle w:val="BodyText"/>
      </w:pPr>
      <w:hyperlink r:id="rId48">
        <w:r>
          <w:rPr>
            <w:rStyle w:val="Hyperlink"/>
          </w:rPr>
          <w:t>[4]</w:t>
        </w:r>
      </w:hyperlink>
      <w:r>
        <w:t xml:space="preserve"> $3(&amp;(&amp;2120,&amp; 32/,&amp;&lt;5(3257</w:t>
      </w:r>
    </w:p>
    <w:p w14:paraId="46BB71D1" w14:textId="77777777" w:rsidR="0075685C" w:rsidRDefault="00000000">
      <w:pPr>
        <w:pStyle w:val="BodyText"/>
      </w:pPr>
      <w:hyperlink r:id="rId49">
        <w:r>
          <w:rPr>
            <w:rStyle w:val="Hyperlink"/>
          </w:rPr>
          <w:t>https://www.apec.org/apecapi/publication/getfile?publicationId=0ad82fd6-103b-4c1b-8d8f-1612b4cedf69&amp;utm_source=chatgpt.com</w:t>
        </w:r>
      </w:hyperlink>
    </w:p>
    <w:p w14:paraId="200A2A61" w14:textId="77777777" w:rsidR="0075685C" w:rsidRDefault="00000000">
      <w:pPr>
        <w:pStyle w:val="BodyText"/>
      </w:pPr>
      <w:hyperlink r:id="rId50">
        <w:r>
          <w:rPr>
            <w:rStyle w:val="Hyperlink"/>
          </w:rPr>
          <w:t>[6]</w:t>
        </w:r>
      </w:hyperlink>
      <w:r>
        <w:t xml:space="preserve"> </w:t>
      </w:r>
      <w:hyperlink r:id="rId51">
        <w:r>
          <w:rPr>
            <w:rStyle w:val="Hyperlink"/>
          </w:rPr>
          <w:t>[7]</w:t>
        </w:r>
      </w:hyperlink>
      <w:r>
        <w:t xml:space="preserve"> </w:t>
      </w:r>
      <w:hyperlink r:id="rId52">
        <w:r>
          <w:rPr>
            <w:rStyle w:val="Hyperlink"/>
          </w:rPr>
          <w:t>[32]</w:t>
        </w:r>
      </w:hyperlink>
      <w:r>
        <w:t xml:space="preserve"> https://www.sciencedirect.com/org/science/article/pii/S1556831822004269</w:t>
      </w:r>
    </w:p>
    <w:p w14:paraId="4108A1B5" w14:textId="77777777" w:rsidR="0075685C" w:rsidRDefault="00000000">
      <w:pPr>
        <w:pStyle w:val="BodyText"/>
      </w:pPr>
      <w:hyperlink r:id="rId53">
        <w:r>
          <w:rPr>
            <w:rStyle w:val="Hyperlink"/>
          </w:rPr>
          <w:t>https://www.sciencedirect.com/org/science/article/pii/S1556831822004269</w:t>
        </w:r>
      </w:hyperlink>
    </w:p>
    <w:p w14:paraId="033067C3" w14:textId="77777777" w:rsidR="0075685C" w:rsidRDefault="00000000">
      <w:pPr>
        <w:pStyle w:val="BodyText"/>
      </w:pPr>
      <w:hyperlink r:id="rId54">
        <w:r>
          <w:rPr>
            <w:rStyle w:val="Hyperlink"/>
          </w:rPr>
          <w:t>[8]</w:t>
        </w:r>
      </w:hyperlink>
      <w:r>
        <w:t xml:space="preserve"> </w:t>
      </w:r>
      <w:hyperlink r:id="rId55">
        <w:r>
          <w:rPr>
            <w:rStyle w:val="Hyperlink"/>
          </w:rPr>
          <w:t>[21]</w:t>
        </w:r>
      </w:hyperlink>
      <w:r>
        <w:t xml:space="preserve"> https://data.worldbank.org/indicator/EG.ELC.ACCS.ZS?locations=PG</w:t>
      </w:r>
    </w:p>
    <w:p w14:paraId="7309507F" w14:textId="77777777" w:rsidR="0075685C" w:rsidRDefault="00000000">
      <w:pPr>
        <w:pStyle w:val="BodyText"/>
      </w:pPr>
      <w:hyperlink r:id="rId56">
        <w:r>
          <w:rPr>
            <w:rStyle w:val="Hyperlink"/>
          </w:rPr>
          <w:t>https://data.worldbank.org/indicator/EG.ELC.ACCS.ZS?locations=PG</w:t>
        </w:r>
      </w:hyperlink>
    </w:p>
    <w:p w14:paraId="4761FBDE" w14:textId="77777777" w:rsidR="0075685C" w:rsidRDefault="00000000">
      <w:pPr>
        <w:pStyle w:val="BodyText"/>
      </w:pPr>
      <w:hyperlink r:id="rId57">
        <w:r>
          <w:rPr>
            <w:rStyle w:val="Hyperlink"/>
          </w:rPr>
          <w:t>[9]</w:t>
        </w:r>
      </w:hyperlink>
      <w:r>
        <w:t xml:space="preserve"> https://electricvehiclecouncil.com.au/wp-content/uploads/2025/04/20250211-EV-Ownership-Survey.pdf</w:t>
      </w:r>
    </w:p>
    <w:p w14:paraId="15085B6D" w14:textId="77777777" w:rsidR="0075685C" w:rsidRDefault="00000000">
      <w:pPr>
        <w:pStyle w:val="BodyText"/>
      </w:pPr>
      <w:hyperlink r:id="rId58">
        <w:r>
          <w:rPr>
            <w:rStyle w:val="Hyperlink"/>
          </w:rPr>
          <w:t>https://electricvehiclecouncil.com.au/wp-content/uploads/2025/04/20250211-EV-Ownership-Survey.pdf</w:t>
        </w:r>
      </w:hyperlink>
    </w:p>
    <w:p w14:paraId="7CA82E06" w14:textId="77777777" w:rsidR="0075685C" w:rsidRDefault="00000000">
      <w:pPr>
        <w:pStyle w:val="BodyText"/>
      </w:pPr>
      <w:hyperlink r:id="rId59">
        <w:r>
          <w:rPr>
            <w:rStyle w:val="Hyperlink"/>
          </w:rPr>
          <w:t>[10]</w:t>
        </w:r>
      </w:hyperlink>
      <w:r>
        <w:t xml:space="preserve"> https://www.eria.org/uploads/Study-on-Policies-and-Infrastructure-Development-for-the-Wider-Penetration-of-Electrified-Vehicles-in-ASEAN-Countries.pdf</w:t>
      </w:r>
    </w:p>
    <w:p w14:paraId="5AFA9CAE" w14:textId="77777777" w:rsidR="0075685C" w:rsidRDefault="00000000">
      <w:pPr>
        <w:pStyle w:val="BodyText"/>
      </w:pPr>
      <w:hyperlink r:id="rId60">
        <w:r>
          <w:rPr>
            <w:rStyle w:val="Hyperlink"/>
          </w:rPr>
          <w:t>https://www.eria.org/uploads/Study-on-Policies-and-Infrastructure-Development-for-the-Wider-Penetration-of-Electrified-Vehicles-in-ASEAN-Countries.pdf</w:t>
        </w:r>
      </w:hyperlink>
    </w:p>
    <w:p w14:paraId="5B59ACD4" w14:textId="77777777" w:rsidR="0075685C" w:rsidRDefault="00000000">
      <w:pPr>
        <w:pStyle w:val="BodyText"/>
      </w:pPr>
      <w:hyperlink r:id="rId61">
        <w:r>
          <w:rPr>
            <w:rStyle w:val="Hyperlink"/>
          </w:rPr>
          <w:t>[12]</w:t>
        </w:r>
      </w:hyperlink>
      <w:r>
        <w:t xml:space="preserve"> https://www.agora-verkehrswende.org/fileadmin/Projekte/2025/Chile_e-mobility/134_Chile_e-mobility_EN.pdf</w:t>
      </w:r>
    </w:p>
    <w:p w14:paraId="1A483741" w14:textId="77777777" w:rsidR="0075685C" w:rsidRDefault="00000000">
      <w:pPr>
        <w:pStyle w:val="BodyText"/>
      </w:pPr>
      <w:hyperlink r:id="rId62">
        <w:r>
          <w:rPr>
            <w:rStyle w:val="Hyperlink"/>
          </w:rPr>
          <w:t>https://www.agora-verkehrswende.org/fileadmin/Projekte/2025/Chile_e-mobility/134_Chile_e-mobility_EN.pdf</w:t>
        </w:r>
      </w:hyperlink>
    </w:p>
    <w:p w14:paraId="5F7C8437" w14:textId="77777777" w:rsidR="0075685C" w:rsidRDefault="00000000">
      <w:pPr>
        <w:pStyle w:val="BodyText"/>
      </w:pPr>
      <w:hyperlink r:id="rId63">
        <w:r>
          <w:rPr>
            <w:rStyle w:val="Hyperlink"/>
          </w:rPr>
          <w:t>[14]</w:t>
        </w:r>
      </w:hyperlink>
      <w:r>
        <w:t xml:space="preserve"> https://www.epd.gov.hk/epd/english/environmentinhk/air/promotion_ev/promotion_ev.html</w:t>
      </w:r>
    </w:p>
    <w:p w14:paraId="46E91662" w14:textId="77777777" w:rsidR="0075685C" w:rsidRDefault="00000000">
      <w:pPr>
        <w:pStyle w:val="BodyText"/>
      </w:pPr>
      <w:hyperlink r:id="rId64">
        <w:r>
          <w:rPr>
            <w:rStyle w:val="Hyperlink"/>
          </w:rPr>
          <w:t>https://www.epd.gov.hk/epd/english/environmentinhk/air/promotion_ev/promotion_ev.html</w:t>
        </w:r>
      </w:hyperlink>
    </w:p>
    <w:p w14:paraId="770C96B9" w14:textId="77777777" w:rsidR="0075685C" w:rsidRDefault="00000000">
      <w:pPr>
        <w:pStyle w:val="BodyText"/>
      </w:pPr>
      <w:hyperlink r:id="rId65">
        <w:r>
          <w:rPr>
            <w:rStyle w:val="Hyperlink"/>
          </w:rPr>
          <w:t>[15]</w:t>
        </w:r>
      </w:hyperlink>
      <w:r>
        <w:t xml:space="preserve"> https://ibc-bulletin-vol4.vercel.app/</w:t>
      </w:r>
    </w:p>
    <w:p w14:paraId="38FF3157" w14:textId="77777777" w:rsidR="0075685C" w:rsidRDefault="00000000">
      <w:pPr>
        <w:pStyle w:val="BodyText"/>
      </w:pPr>
      <w:hyperlink r:id="rId66">
        <w:r>
          <w:rPr>
            <w:rStyle w:val="Hyperlink"/>
          </w:rPr>
          <w:t>https://ibc-bulletin-vol4.vercel.app/</w:t>
        </w:r>
      </w:hyperlink>
    </w:p>
    <w:p w14:paraId="3114B371" w14:textId="77777777" w:rsidR="0075685C" w:rsidRDefault="00000000">
      <w:pPr>
        <w:pStyle w:val="BodyText"/>
      </w:pPr>
      <w:hyperlink r:id="rId67">
        <w:r>
          <w:rPr>
            <w:rStyle w:val="Hyperlink"/>
          </w:rPr>
          <w:t>[16]</w:t>
        </w:r>
      </w:hyperlink>
      <w:r>
        <w:t xml:space="preserve"> https://www.sciencedirect.com/science/article/pii/S1361920925005048</w:t>
      </w:r>
    </w:p>
    <w:p w14:paraId="0234D1EB" w14:textId="77777777" w:rsidR="0075685C" w:rsidRDefault="00000000">
      <w:pPr>
        <w:pStyle w:val="BodyText"/>
      </w:pPr>
      <w:hyperlink r:id="rId68">
        <w:r>
          <w:rPr>
            <w:rStyle w:val="Hyperlink"/>
          </w:rPr>
          <w:t>https://www.sciencedirect.com/science/article/pii/S1361920925005048</w:t>
        </w:r>
      </w:hyperlink>
    </w:p>
    <w:p w14:paraId="3F65CC02" w14:textId="77777777" w:rsidR="0075685C" w:rsidRDefault="00000000">
      <w:pPr>
        <w:pStyle w:val="BodyText"/>
      </w:pPr>
      <w:hyperlink r:id="rId69">
        <w:r>
          <w:rPr>
            <w:rStyle w:val="Hyperlink"/>
          </w:rPr>
          <w:t>[17]</w:t>
        </w:r>
      </w:hyperlink>
      <w:r>
        <w:t xml:space="preserve"> https://www.iea.org/reports/global-ev-outlook-2025/electric-vehicle-charging</w:t>
      </w:r>
    </w:p>
    <w:p w14:paraId="3F5045F1" w14:textId="77777777" w:rsidR="0075685C" w:rsidRDefault="00000000">
      <w:pPr>
        <w:pStyle w:val="BodyText"/>
      </w:pPr>
      <w:hyperlink r:id="rId70">
        <w:r>
          <w:rPr>
            <w:rStyle w:val="Hyperlink"/>
          </w:rPr>
          <w:t>https://www.iea.org/reports/global-ev-outlook-2025/electric-vehicle-charging</w:t>
        </w:r>
      </w:hyperlink>
    </w:p>
    <w:p w14:paraId="0597F789" w14:textId="77777777" w:rsidR="0075685C" w:rsidRDefault="00000000">
      <w:pPr>
        <w:pStyle w:val="BodyText"/>
      </w:pPr>
      <w:hyperlink r:id="rId71">
        <w:r>
          <w:rPr>
            <w:rStyle w:val="Hyperlink"/>
          </w:rPr>
          <w:t>[18]</w:t>
        </w:r>
      </w:hyperlink>
      <w:r>
        <w:t xml:space="preserve"> https://www.maa.org.my/pdf/2024/Market_Review_2024.pdf</w:t>
      </w:r>
    </w:p>
    <w:p w14:paraId="31FFF319" w14:textId="77777777" w:rsidR="0075685C" w:rsidRDefault="00000000">
      <w:pPr>
        <w:pStyle w:val="BodyText"/>
      </w:pPr>
      <w:hyperlink r:id="rId72">
        <w:r>
          <w:rPr>
            <w:rStyle w:val="Hyperlink"/>
          </w:rPr>
          <w:t>https://www.maa.org.my/pdf/2024/Market_Review_2024.pdf</w:t>
        </w:r>
      </w:hyperlink>
    </w:p>
    <w:p w14:paraId="431DE5FE" w14:textId="77777777" w:rsidR="0075685C" w:rsidRDefault="00000000">
      <w:pPr>
        <w:pStyle w:val="BodyText"/>
      </w:pPr>
      <w:hyperlink r:id="rId73">
        <w:r>
          <w:rPr>
            <w:rStyle w:val="Hyperlink"/>
          </w:rPr>
          <w:t>[19]</w:t>
        </w:r>
      </w:hyperlink>
      <w:r>
        <w:t xml:space="preserve"> https://www.iea.org/reports/global-ev-outlook-2026/trends-in-electric-cars</w:t>
      </w:r>
    </w:p>
    <w:p w14:paraId="6D0D07EE" w14:textId="77777777" w:rsidR="0075685C" w:rsidRDefault="00000000">
      <w:pPr>
        <w:pStyle w:val="BodyText"/>
      </w:pPr>
      <w:hyperlink r:id="rId74">
        <w:r>
          <w:rPr>
            <w:rStyle w:val="Hyperlink"/>
          </w:rPr>
          <w:t>https://www.iea.org/reports/global-ev-outlook-2026/trends-in-electric-cars</w:t>
        </w:r>
      </w:hyperlink>
    </w:p>
    <w:p w14:paraId="27F61A51" w14:textId="77777777" w:rsidR="0075685C" w:rsidRDefault="00000000">
      <w:pPr>
        <w:pStyle w:val="BodyText"/>
      </w:pPr>
      <w:hyperlink r:id="rId75">
        <w:r>
          <w:rPr>
            <w:rStyle w:val="Hyperlink"/>
          </w:rPr>
          <w:t>[20]</w:t>
        </w:r>
      </w:hyperlink>
      <w:r>
        <w:t xml:space="preserve"> https://figure.nz/chart/qBM5TRld1dvbCH8C</w:t>
      </w:r>
    </w:p>
    <w:p w14:paraId="275C5BC9" w14:textId="77777777" w:rsidR="0075685C" w:rsidRDefault="00000000">
      <w:pPr>
        <w:pStyle w:val="BodyText"/>
      </w:pPr>
      <w:hyperlink r:id="rId76">
        <w:r>
          <w:rPr>
            <w:rStyle w:val="Hyperlink"/>
          </w:rPr>
          <w:t>https://figure.nz/chart/qBM5TRld1dvbCH8C</w:t>
        </w:r>
      </w:hyperlink>
    </w:p>
    <w:p w14:paraId="1D39F701" w14:textId="77777777" w:rsidR="0075685C" w:rsidRDefault="00000000">
      <w:pPr>
        <w:pStyle w:val="BodyText"/>
      </w:pPr>
      <w:hyperlink r:id="rId77">
        <w:r>
          <w:rPr>
            <w:rStyle w:val="Hyperlink"/>
          </w:rPr>
          <w:t>[22]</w:t>
        </w:r>
      </w:hyperlink>
      <w:r>
        <w:t xml:space="preserve"> https://www.trade.gov/market-intelligence/peru-electric-mobility</w:t>
      </w:r>
    </w:p>
    <w:p w14:paraId="53C591B1" w14:textId="77777777" w:rsidR="0075685C" w:rsidRDefault="00000000">
      <w:pPr>
        <w:pStyle w:val="BodyText"/>
      </w:pPr>
      <w:hyperlink r:id="rId78">
        <w:r>
          <w:rPr>
            <w:rStyle w:val="Hyperlink"/>
          </w:rPr>
          <w:t>https://www.trade.gov/market-intelligence/peru-electric-mobility</w:t>
        </w:r>
      </w:hyperlink>
    </w:p>
    <w:p w14:paraId="5D731335" w14:textId="77777777" w:rsidR="0075685C" w:rsidRDefault="00000000">
      <w:pPr>
        <w:pStyle w:val="BodyText"/>
      </w:pPr>
      <w:hyperlink r:id="rId79">
        <w:r>
          <w:rPr>
            <w:rStyle w:val="Hyperlink"/>
          </w:rPr>
          <w:t>[23]</w:t>
        </w:r>
      </w:hyperlink>
      <w:r>
        <w:t xml:space="preserve"> https://pia.gov.ph/news/philippines-expands-electric-vehicle-charging-network-to-over-900-stations/</w:t>
      </w:r>
    </w:p>
    <w:p w14:paraId="22B4C547" w14:textId="77777777" w:rsidR="0075685C" w:rsidRDefault="00000000">
      <w:pPr>
        <w:pStyle w:val="BodyText"/>
      </w:pPr>
      <w:hyperlink r:id="rId80">
        <w:r>
          <w:rPr>
            <w:rStyle w:val="Hyperlink"/>
          </w:rPr>
          <w:t>https://pia.gov.ph/news/philippines-expands-electric-vehicle-charging-network-to-over-900-stations/</w:t>
        </w:r>
      </w:hyperlink>
    </w:p>
    <w:p w14:paraId="0C00F349" w14:textId="77777777" w:rsidR="0075685C" w:rsidRDefault="00000000">
      <w:pPr>
        <w:pStyle w:val="BodyText"/>
      </w:pPr>
      <w:hyperlink r:id="rId81">
        <w:r>
          <w:rPr>
            <w:rStyle w:val="Hyperlink"/>
          </w:rPr>
          <w:t>[25]</w:t>
        </w:r>
      </w:hyperlink>
      <w:r>
        <w:t xml:space="preserve"> https://www.lta.gov.sg/content/dam/ltagov/who_we_are/statistics_and_publications/statistics/pdf/MVP01-4_MVP_by_fuel.pdf</w:t>
      </w:r>
    </w:p>
    <w:p w14:paraId="1B81FDBB" w14:textId="77777777" w:rsidR="0075685C" w:rsidRDefault="00000000">
      <w:pPr>
        <w:pStyle w:val="BodyText"/>
      </w:pPr>
      <w:hyperlink r:id="rId82">
        <w:r>
          <w:rPr>
            <w:rStyle w:val="Hyperlink"/>
          </w:rPr>
          <w:t>https://www.lta.gov.sg/content/dam/ltagov/who_we_are/statistics_and_publications/statistics/pdf/MVP01-4_MVP_by_fuel.pdf</w:t>
        </w:r>
      </w:hyperlink>
    </w:p>
    <w:p w14:paraId="64EFA9FA" w14:textId="77777777" w:rsidR="0075685C" w:rsidRDefault="00000000">
      <w:pPr>
        <w:pStyle w:val="BodyText"/>
      </w:pPr>
      <w:hyperlink r:id="rId83">
        <w:r>
          <w:rPr>
            <w:rStyle w:val="Hyperlink"/>
          </w:rPr>
          <w:t>[26]</w:t>
        </w:r>
      </w:hyperlink>
      <w:r>
        <w:t xml:space="preserve"> https://www.trade.gov/market-intelligence/taiwan-electric-vehicle</w:t>
      </w:r>
    </w:p>
    <w:p w14:paraId="5958BAC1" w14:textId="77777777" w:rsidR="0075685C" w:rsidRDefault="00000000">
      <w:pPr>
        <w:pStyle w:val="BodyText"/>
      </w:pPr>
      <w:hyperlink r:id="rId84">
        <w:r>
          <w:rPr>
            <w:rStyle w:val="Hyperlink"/>
          </w:rPr>
          <w:t>https://www.trade.gov/market-intelligence/taiwan-electric-vehicle</w:t>
        </w:r>
      </w:hyperlink>
    </w:p>
    <w:p w14:paraId="3C015D46" w14:textId="77777777" w:rsidR="0075685C" w:rsidRDefault="00000000">
      <w:pPr>
        <w:pStyle w:val="BodyText"/>
      </w:pPr>
      <w:hyperlink r:id="rId85">
        <w:r>
          <w:rPr>
            <w:rStyle w:val="Hyperlink"/>
          </w:rPr>
          <w:t>[27]</w:t>
        </w:r>
      </w:hyperlink>
      <w:r>
        <w:t xml:space="preserve"> https://www.rolandberger.com/en/Insights/Publications/EV-Charging-Index-2025-Expert-insight-from-Thailand.html</w:t>
      </w:r>
    </w:p>
    <w:p w14:paraId="1B641422" w14:textId="77777777" w:rsidR="0075685C" w:rsidRDefault="00000000">
      <w:pPr>
        <w:pStyle w:val="BodyText"/>
      </w:pPr>
      <w:hyperlink r:id="rId86">
        <w:r>
          <w:rPr>
            <w:rStyle w:val="Hyperlink"/>
          </w:rPr>
          <w:t>https://www.rolandberger.com/en/Insights/Publications/EV-Charging-Index-2025-Expert-insight-from-Thailand.html</w:t>
        </w:r>
      </w:hyperlink>
    </w:p>
    <w:p w14:paraId="69651DB0" w14:textId="77777777" w:rsidR="0075685C" w:rsidRDefault="00000000">
      <w:pPr>
        <w:pStyle w:val="BodyText"/>
      </w:pPr>
      <w:hyperlink r:id="rId87">
        <w:r>
          <w:rPr>
            <w:rStyle w:val="Hyperlink"/>
          </w:rPr>
          <w:t>[28]</w:t>
        </w:r>
      </w:hyperlink>
      <w:r>
        <w:t xml:space="preserve"> https://theicct.org/wp-content/uploads/2022/12/real-world-phev-us-dec22.pdf</w:t>
      </w:r>
    </w:p>
    <w:p w14:paraId="6730D1C3" w14:textId="77777777" w:rsidR="0075685C" w:rsidRDefault="00000000">
      <w:pPr>
        <w:pStyle w:val="BodyText"/>
      </w:pPr>
      <w:hyperlink r:id="rId88">
        <w:r>
          <w:rPr>
            <w:rStyle w:val="Hyperlink"/>
          </w:rPr>
          <w:t>https://theicct.org/wp-content/uploads/2022/12/real-world-phev-us-dec22.pdf</w:t>
        </w:r>
      </w:hyperlink>
    </w:p>
    <w:p w14:paraId="56EC0419" w14:textId="77777777" w:rsidR="0075685C" w:rsidRDefault="00000000">
      <w:pPr>
        <w:pStyle w:val="BodyText"/>
      </w:pPr>
      <w:hyperlink r:id="rId89">
        <w:r>
          <w:rPr>
            <w:rStyle w:val="Hyperlink"/>
          </w:rPr>
          <w:t>[29]</w:t>
        </w:r>
      </w:hyperlink>
      <w:r>
        <w:t xml:space="preserve"> https://www.reuters.com/world/asia-pacific/vietnam-plans-electricity-subsidies-ev-charging-stations-2024-08-12/</w:t>
      </w:r>
    </w:p>
    <w:p w14:paraId="37662041" w14:textId="77777777" w:rsidR="0075685C" w:rsidRDefault="00000000">
      <w:pPr>
        <w:pStyle w:val="BodyText"/>
      </w:pPr>
      <w:hyperlink r:id="rId90">
        <w:r>
          <w:rPr>
            <w:rStyle w:val="Hyperlink"/>
          </w:rPr>
          <w:t>https://www.reuters.com/world/asia-pacific/vietnam-plans-electricity-subsidies-ev-charging-stations-2024-08-12/</w:t>
        </w:r>
      </w:hyperlink>
    </w:p>
    <w:p w14:paraId="63F02A0A" w14:textId="77777777" w:rsidR="0075685C" w:rsidRDefault="00000000">
      <w:pPr>
        <w:pStyle w:val="BodyText"/>
      </w:pPr>
      <w:hyperlink r:id="rId91">
        <w:r>
          <w:rPr>
            <w:rStyle w:val="Hyperlink"/>
          </w:rPr>
          <w:t>[31]</w:t>
        </w:r>
      </w:hyperlink>
      <w:r>
        <w:t xml:space="preserve"> https://doe.gov.ph/site/eumb/articles/group/notices-and-releases?category=Announcements&amp;display_type=Card</w:t>
      </w:r>
    </w:p>
    <w:p w14:paraId="0F89A5F7" w14:textId="77777777" w:rsidR="0075685C" w:rsidRDefault="00000000">
      <w:pPr>
        <w:pStyle w:val="BodyText"/>
      </w:pPr>
      <w:hyperlink r:id="rId92">
        <w:r>
          <w:rPr>
            <w:rStyle w:val="Hyperlink"/>
          </w:rPr>
          <w:t>https://doe.gov.ph/site/eumb/articles/group/notices-and-releases?category=Announcements&amp;display_type=Card</w:t>
        </w:r>
      </w:hyperlink>
      <w:bookmarkEnd w:id="8"/>
    </w:p>
    <w:sectPr w:rsidR="007568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06A5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6DA6B17"/>
    <w:multiLevelType w:val="hybridMultilevel"/>
    <w:tmpl w:val="20BC20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21996769">
    <w:abstractNumId w:val="0"/>
  </w:num>
  <w:num w:numId="2" w16cid:durableId="606350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5685C"/>
    <w:rsid w:val="0059413B"/>
    <w:rsid w:val="0075685C"/>
    <w:rsid w:val="00C24652"/>
    <w:rsid w:val="00CC2784"/>
    <w:rsid w:val="00E82C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D691"/>
  <w15:docId w15:val="{E4737707-6610-4556-A08B-BB5D4E3F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worldbank.org/indicator/EG.ELC.ACCS.ZS?locations=PG" TargetMode="External"/><Relationship Id="rId21" Type="http://schemas.openxmlformats.org/officeDocument/2006/relationships/hyperlink" Target="https://www.sciencedirect.com/science/article/pii/S1361920925005048" TargetMode="External"/><Relationship Id="rId42" Type="http://schemas.openxmlformats.org/officeDocument/2006/relationships/hyperlink" Target="https://www.mdpi.com/2032-6653/12/4/169" TargetMode="External"/><Relationship Id="rId47" Type="http://schemas.openxmlformats.org/officeDocument/2006/relationships/hyperlink" Target="https://tc.canada.ca/en/road-transportation/innovative-technologies/electric-vehicles/zev-council-dashboard" TargetMode="External"/><Relationship Id="rId63" Type="http://schemas.openxmlformats.org/officeDocument/2006/relationships/hyperlink" Target="https://www.epd.gov.hk/epd/english/environmentinhk/air/promotion_ev/promotion_ev.html" TargetMode="External"/><Relationship Id="rId68" Type="http://schemas.openxmlformats.org/officeDocument/2006/relationships/hyperlink" Target="https://www.sciencedirect.com/science/article/pii/S1361920925005048" TargetMode="External"/><Relationship Id="rId84" Type="http://schemas.openxmlformats.org/officeDocument/2006/relationships/hyperlink" Target="https://www.trade.gov/market-intelligence/taiwan-electric-vehicle" TargetMode="External"/><Relationship Id="rId89" Type="http://schemas.openxmlformats.org/officeDocument/2006/relationships/hyperlink" Target="https://www.reuters.com/world/asia-pacific/vietnam-plans-electricity-subsidies-ev-charging-stations-2024-08-12/" TargetMode="External"/><Relationship Id="rId16" Type="http://schemas.openxmlformats.org/officeDocument/2006/relationships/hyperlink" Target="https://tc.canada.ca/en/road-transportation/innovative-technologies/electric-vehicles/zev-council-dashboard" TargetMode="External"/><Relationship Id="rId11" Type="http://schemas.openxmlformats.org/officeDocument/2006/relationships/hyperlink" Target="https://www.sciencedirect.com/org/science/article/pii/S1556831822004269" TargetMode="External"/><Relationship Id="rId32" Type="http://schemas.openxmlformats.org/officeDocument/2006/relationships/hyperlink" Target="https://www.rolandberger.com/en/Insights/Publications/EV-Charging-Index-2025-Expert-insight-from-Thailand.html" TargetMode="External"/><Relationship Id="rId37" Type="http://schemas.openxmlformats.org/officeDocument/2006/relationships/hyperlink" Target="https://www.sciencedirect.com/org/science/article/pii/S1556831822004269" TargetMode="External"/><Relationship Id="rId53" Type="http://schemas.openxmlformats.org/officeDocument/2006/relationships/hyperlink" Target="https://www.sciencedirect.com/org/science/article/pii/S1556831822004269" TargetMode="External"/><Relationship Id="rId58" Type="http://schemas.openxmlformats.org/officeDocument/2006/relationships/hyperlink" Target="https://electricvehiclecouncil.com.au/wp-content/uploads/2025/04/20250211-EV-Ownership-Survey.pdf" TargetMode="External"/><Relationship Id="rId74" Type="http://schemas.openxmlformats.org/officeDocument/2006/relationships/hyperlink" Target="https://www.iea.org/reports/global-ev-outlook-2026/trends-in-electric-cars" TargetMode="External"/><Relationship Id="rId79" Type="http://schemas.openxmlformats.org/officeDocument/2006/relationships/hyperlink" Target="https://pia.gov.ph/news/philippines-expands-electric-vehicle-charging-network-to-over-900-stations/" TargetMode="External"/><Relationship Id="rId5" Type="http://schemas.openxmlformats.org/officeDocument/2006/relationships/hyperlink" Target="https://theicct.org/publication/real-world-phev-use-jun22/" TargetMode="External"/><Relationship Id="rId90" Type="http://schemas.openxmlformats.org/officeDocument/2006/relationships/hyperlink" Target="https://www.reuters.com/world/asia-pacific/vietnam-plans-electricity-subsidies-ev-charging-stations-2024-08-12/" TargetMode="External"/><Relationship Id="rId22" Type="http://schemas.openxmlformats.org/officeDocument/2006/relationships/hyperlink" Target="https://www.iea.org/reports/global-ev-outlook-2025/electric-vehicle-charging" TargetMode="External"/><Relationship Id="rId27" Type="http://schemas.openxmlformats.org/officeDocument/2006/relationships/hyperlink" Target="https://www.trade.gov/market-intelligence/peru-electric-mobility" TargetMode="External"/><Relationship Id="rId43" Type="http://schemas.openxmlformats.org/officeDocument/2006/relationships/hyperlink" Target="https://www.mdpi.com/2032-6653/12/4/169" TargetMode="External"/><Relationship Id="rId48" Type="http://schemas.openxmlformats.org/officeDocument/2006/relationships/hyperlink" Target="https://www.apec.org/apecapi/publication/getfile?publicationId=0ad82fd6-103b-4c1b-8d8f-1612b4cedf69&amp;utm_source=chatgpt.com" TargetMode="External"/><Relationship Id="rId64" Type="http://schemas.openxmlformats.org/officeDocument/2006/relationships/hyperlink" Target="https://www.epd.gov.hk/epd/english/environmentinhk/air/promotion_ev/promotion_ev.html" TargetMode="External"/><Relationship Id="rId69" Type="http://schemas.openxmlformats.org/officeDocument/2006/relationships/hyperlink" Target="https://www.iea.org/reports/global-ev-outlook-2025/electric-vehicle-charging" TargetMode="External"/><Relationship Id="rId8" Type="http://schemas.openxmlformats.org/officeDocument/2006/relationships/hyperlink" Target="https://www.apec.org/apecapi/publication/getfile?publicationId=0ad82fd6-103b-4c1b-8d8f-1612b4cedf69&amp;utm_source=chatgpt.com" TargetMode="External"/><Relationship Id="rId51" Type="http://schemas.openxmlformats.org/officeDocument/2006/relationships/hyperlink" Target="https://www.sciencedirect.com/org/science/article/pii/S1556831822004269" TargetMode="External"/><Relationship Id="rId72" Type="http://schemas.openxmlformats.org/officeDocument/2006/relationships/hyperlink" Target="https://www.maa.org.my/pdf/2024/Market_Review_2024.pdf" TargetMode="External"/><Relationship Id="rId80" Type="http://schemas.openxmlformats.org/officeDocument/2006/relationships/hyperlink" Target="https://pia.gov.ph/news/philippines-expands-electric-vehicle-charging-network-to-over-900-stations/" TargetMode="External"/><Relationship Id="rId85" Type="http://schemas.openxmlformats.org/officeDocument/2006/relationships/hyperlink" Target="https://www.rolandberger.com/en/Insights/Publications/EV-Charging-Index-2025-Expert-insight-from-Thailand.html"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ata.worldbank.org/indicator/EG.ELC.ACCS.ZS?locations=PG" TargetMode="External"/><Relationship Id="rId17" Type="http://schemas.openxmlformats.org/officeDocument/2006/relationships/hyperlink" Target="https://www.agora-verkehrswende.org/fileadmin/Projekte/2025/Chile_e-mobility/134_Chile_e-mobility_EN.pdf" TargetMode="External"/><Relationship Id="rId25" Type="http://schemas.openxmlformats.org/officeDocument/2006/relationships/hyperlink" Target="https://figure.nz/chart/qBM5TRld1dvbCH8C" TargetMode="External"/><Relationship Id="rId33" Type="http://schemas.openxmlformats.org/officeDocument/2006/relationships/hyperlink" Target="https://theicct.org/wp-content/uploads/2022/12/real-world-phev-us-dec22.pdf" TargetMode="External"/><Relationship Id="rId38" Type="http://schemas.openxmlformats.org/officeDocument/2006/relationships/hyperlink" Target="https://theicct.org/publication/real-world-phev-use-jun22/" TargetMode="External"/><Relationship Id="rId46" Type="http://schemas.openxmlformats.org/officeDocument/2006/relationships/hyperlink" Target="https://tc.canada.ca/en/road-transportation/innovative-technologies/electric-vehicles/zev-council-dashboard" TargetMode="External"/><Relationship Id="rId59" Type="http://schemas.openxmlformats.org/officeDocument/2006/relationships/hyperlink" Target="https://www.eria.org/uploads/Study-on-Policies-and-Infrastructure-Development-for-the-Wider-Penetration-of-Electrified-Vehicles-in-ASEAN-Countries.pdf" TargetMode="External"/><Relationship Id="rId67" Type="http://schemas.openxmlformats.org/officeDocument/2006/relationships/hyperlink" Target="https://www.sciencedirect.com/science/article/pii/S1361920925005048" TargetMode="External"/><Relationship Id="rId20" Type="http://schemas.openxmlformats.org/officeDocument/2006/relationships/hyperlink" Target="https://ibc-bulletin-vol4.vercel.app/" TargetMode="External"/><Relationship Id="rId41" Type="http://schemas.openxmlformats.org/officeDocument/2006/relationships/hyperlink" Target="https://theicct.org/publication/real-world-phev-use-jun22/" TargetMode="External"/><Relationship Id="rId54" Type="http://schemas.openxmlformats.org/officeDocument/2006/relationships/hyperlink" Target="https://data.worldbank.org/indicator/EG.ELC.ACCS.ZS?locations=PG" TargetMode="External"/><Relationship Id="rId62" Type="http://schemas.openxmlformats.org/officeDocument/2006/relationships/hyperlink" Target="https://www.agora-verkehrswende.org/fileadmin/Projekte/2025/Chile_e-mobility/134_Chile_e-mobility_EN.pdf" TargetMode="External"/><Relationship Id="rId70" Type="http://schemas.openxmlformats.org/officeDocument/2006/relationships/hyperlink" Target="https://www.iea.org/reports/global-ev-outlook-2025/electric-vehicle-charging" TargetMode="External"/><Relationship Id="rId75" Type="http://schemas.openxmlformats.org/officeDocument/2006/relationships/hyperlink" Target="https://figure.nz/chart/qBM5TRld1dvbCH8C" TargetMode="External"/><Relationship Id="rId83" Type="http://schemas.openxmlformats.org/officeDocument/2006/relationships/hyperlink" Target="https://www.trade.gov/market-intelligence/taiwan-electric-vehicle" TargetMode="External"/><Relationship Id="rId88" Type="http://schemas.openxmlformats.org/officeDocument/2006/relationships/hyperlink" Target="https://theicct.org/wp-content/uploads/2022/12/real-world-phev-us-dec22.pdf" TargetMode="External"/><Relationship Id="rId91" Type="http://schemas.openxmlformats.org/officeDocument/2006/relationships/hyperlink" Target="https://doe.gov.ph/site/eumb/articles/group/notices-and-releases?category=Announcements&amp;display_type=Card" TargetMode="External"/><Relationship Id="rId1" Type="http://schemas.openxmlformats.org/officeDocument/2006/relationships/numbering" Target="numbering.xml"/><Relationship Id="rId6" Type="http://schemas.openxmlformats.org/officeDocument/2006/relationships/hyperlink" Target="https://www.mdpi.com/2032-6653/12/4/169" TargetMode="External"/><Relationship Id="rId15" Type="http://schemas.openxmlformats.org/officeDocument/2006/relationships/hyperlink" Target="https://www.eria.org/uploads/Study-on-Policies-and-Infrastructure-Development-for-the-Wider-Penetration-of-Electrified-Vehicles-in-ASEAN-Countries.pdf" TargetMode="External"/><Relationship Id="rId23" Type="http://schemas.openxmlformats.org/officeDocument/2006/relationships/hyperlink" Target="https://www.maa.org.my/pdf/2024/Market_Review_2024.pdf" TargetMode="External"/><Relationship Id="rId28" Type="http://schemas.openxmlformats.org/officeDocument/2006/relationships/hyperlink" Target="https://pia.gov.ph/news/philippines-expands-electric-vehicle-charging-network-to-over-900-stations/" TargetMode="External"/><Relationship Id="rId36" Type="http://schemas.openxmlformats.org/officeDocument/2006/relationships/hyperlink" Target="https://doe.gov.ph/site/eumb/articles/group/notices-and-releases?category=Announcements&amp;display_type=Card" TargetMode="External"/><Relationship Id="rId49" Type="http://schemas.openxmlformats.org/officeDocument/2006/relationships/hyperlink" Target="https://www.apec.org/apecapi/publication/getfile?publicationId=0ad82fd6-103b-4c1b-8d8f-1612b4cedf69&amp;utm_source=chatgpt.com" TargetMode="External"/><Relationship Id="rId57" Type="http://schemas.openxmlformats.org/officeDocument/2006/relationships/hyperlink" Target="https://electricvehiclecouncil.com.au/wp-content/uploads/2025/04/20250211-EV-Ownership-Survey.pdf" TargetMode="External"/><Relationship Id="rId10" Type="http://schemas.openxmlformats.org/officeDocument/2006/relationships/hyperlink" Target="https://www.sciencedirect.com/org/science/article/pii/S1556831822004269" TargetMode="External"/><Relationship Id="rId31" Type="http://schemas.openxmlformats.org/officeDocument/2006/relationships/hyperlink" Target="https://www.trade.gov/market-intelligence/taiwan-electric-vehicle" TargetMode="External"/><Relationship Id="rId44" Type="http://schemas.openxmlformats.org/officeDocument/2006/relationships/hyperlink" Target="https://www.mdpi.com/2032-6653/12/4/169" TargetMode="External"/><Relationship Id="rId52" Type="http://schemas.openxmlformats.org/officeDocument/2006/relationships/hyperlink" Target="https://www.sciencedirect.com/org/science/article/pii/S1556831822004269" TargetMode="External"/><Relationship Id="rId60" Type="http://schemas.openxmlformats.org/officeDocument/2006/relationships/hyperlink" Target="https://www.eria.org/uploads/Study-on-Policies-and-Infrastructure-Development-for-the-Wider-Penetration-of-Electrified-Vehicles-in-ASEAN-Countries.pdf" TargetMode="External"/><Relationship Id="rId65" Type="http://schemas.openxmlformats.org/officeDocument/2006/relationships/hyperlink" Target="https://ibc-bulletin-vol4.vercel.app/" TargetMode="External"/><Relationship Id="rId73" Type="http://schemas.openxmlformats.org/officeDocument/2006/relationships/hyperlink" Target="https://www.iea.org/reports/global-ev-outlook-2026/trends-in-electric-cars" TargetMode="External"/><Relationship Id="rId78" Type="http://schemas.openxmlformats.org/officeDocument/2006/relationships/hyperlink" Target="https://www.trade.gov/market-intelligence/peru-electric-mobility" TargetMode="External"/><Relationship Id="rId81" Type="http://schemas.openxmlformats.org/officeDocument/2006/relationships/hyperlink" Target="https://www.lta.gov.sg/content/dam/ltagov/who_we_are/statistics_and_publications/statistics/pdf/MVP01-4_MVP_by_fuel.pdf" TargetMode="External"/><Relationship Id="rId86" Type="http://schemas.openxmlformats.org/officeDocument/2006/relationships/hyperlink" Target="https://www.rolandberger.com/en/Insights/Publications/EV-Charging-Index-2025-Expert-insight-from-Thailand.html"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icct.org/publication/real-world-phev-use-jun22/" TargetMode="External"/><Relationship Id="rId13" Type="http://schemas.openxmlformats.org/officeDocument/2006/relationships/image" Target="media/image1.png"/><Relationship Id="rId18" Type="http://schemas.openxmlformats.org/officeDocument/2006/relationships/hyperlink" Target="https://www.mdpi.com/2032-6653/12/4/169" TargetMode="External"/><Relationship Id="rId39" Type="http://schemas.openxmlformats.org/officeDocument/2006/relationships/hyperlink" Target="https://theicct.org/publication/real-world-phev-use-jun22/" TargetMode="External"/><Relationship Id="rId34" Type="http://schemas.openxmlformats.org/officeDocument/2006/relationships/hyperlink" Target="https://www.reuters.com/world/asia-pacific/vietnam-plans-electricity-subsidies-ev-charging-stations-2024-08-12/" TargetMode="External"/><Relationship Id="rId50" Type="http://schemas.openxmlformats.org/officeDocument/2006/relationships/hyperlink" Target="https://www.sciencedirect.com/org/science/article/pii/S1556831822004269" TargetMode="External"/><Relationship Id="rId55" Type="http://schemas.openxmlformats.org/officeDocument/2006/relationships/hyperlink" Target="https://data.worldbank.org/indicator/EG.ELC.ACCS.ZS?locations=PG" TargetMode="External"/><Relationship Id="rId76" Type="http://schemas.openxmlformats.org/officeDocument/2006/relationships/hyperlink" Target="https://figure.nz/chart/qBM5TRld1dvbCH8C" TargetMode="External"/><Relationship Id="rId7" Type="http://schemas.openxmlformats.org/officeDocument/2006/relationships/hyperlink" Target="https://tc.canada.ca/en/road-transportation/innovative-technologies/electric-vehicles/zev-council-dashboard" TargetMode="External"/><Relationship Id="rId71" Type="http://schemas.openxmlformats.org/officeDocument/2006/relationships/hyperlink" Target="https://www.maa.org.my/pdf/2024/Market_Review_2024.pdf" TargetMode="External"/><Relationship Id="rId92" Type="http://schemas.openxmlformats.org/officeDocument/2006/relationships/hyperlink" Target="https://doe.gov.ph/site/eumb/articles/group/notices-and-releases?category=Announcements&amp;display_type=Card" TargetMode="External"/><Relationship Id="rId2" Type="http://schemas.openxmlformats.org/officeDocument/2006/relationships/styles" Target="styles.xml"/><Relationship Id="rId29" Type="http://schemas.openxmlformats.org/officeDocument/2006/relationships/hyperlink" Target="https://theicct.org/publication/real-world-phev-use-jun22/" TargetMode="External"/><Relationship Id="rId24" Type="http://schemas.openxmlformats.org/officeDocument/2006/relationships/hyperlink" Target="https://www.iea.org/reports/global-ev-outlook-2026/trends-in-electric-cars" TargetMode="External"/><Relationship Id="rId40" Type="http://schemas.openxmlformats.org/officeDocument/2006/relationships/hyperlink" Target="https://theicct.org/publication/real-world-phev-use-jun22/" TargetMode="External"/><Relationship Id="rId45" Type="http://schemas.openxmlformats.org/officeDocument/2006/relationships/hyperlink" Target="https://tc.canada.ca/en/road-transportation/innovative-technologies/electric-vehicles/zev-council-dashboard" TargetMode="External"/><Relationship Id="rId66" Type="http://schemas.openxmlformats.org/officeDocument/2006/relationships/hyperlink" Target="https://ibc-bulletin-vol4.vercel.app/" TargetMode="External"/><Relationship Id="rId87" Type="http://schemas.openxmlformats.org/officeDocument/2006/relationships/hyperlink" Target="https://theicct.org/wp-content/uploads/2022/12/real-world-phev-us-dec22.pdf" TargetMode="External"/><Relationship Id="rId61" Type="http://schemas.openxmlformats.org/officeDocument/2006/relationships/hyperlink" Target="https://www.agora-verkehrswende.org/fileadmin/Projekte/2025/Chile_e-mobility/134_Chile_e-mobility_EN.pdf" TargetMode="External"/><Relationship Id="rId82" Type="http://schemas.openxmlformats.org/officeDocument/2006/relationships/hyperlink" Target="https://www.lta.gov.sg/content/dam/ltagov/who_we_are/statistics_and_publications/statistics/pdf/MVP01-4_MVP_by_fuel.pdf" TargetMode="External"/><Relationship Id="rId19" Type="http://schemas.openxmlformats.org/officeDocument/2006/relationships/hyperlink" Target="https://www.epd.gov.hk/epd/english/environmentinhk/air/promotion_ev/promotion_ev.html" TargetMode="External"/><Relationship Id="rId14" Type="http://schemas.openxmlformats.org/officeDocument/2006/relationships/hyperlink" Target="https://electricvehiclecouncil.com.au/wp-content/uploads/2025/04/20250211-EV-Ownership-Survey.pdf" TargetMode="External"/><Relationship Id="rId30" Type="http://schemas.openxmlformats.org/officeDocument/2006/relationships/hyperlink" Target="https://www.lta.gov.sg/content/dam/ltagov/who_we_are/statistics_and_publications/statistics/pdf/MVP01-4_MVP_by_fuel.pdf" TargetMode="External"/><Relationship Id="rId35" Type="http://schemas.openxmlformats.org/officeDocument/2006/relationships/hyperlink" Target="https://theicct.org/publication/real-world-phev-use-jun22/" TargetMode="External"/><Relationship Id="rId56" Type="http://schemas.openxmlformats.org/officeDocument/2006/relationships/hyperlink" Target="https://data.worldbank.org/indicator/EG.ELC.ACCS.ZS?locations=PG" TargetMode="External"/><Relationship Id="rId77" Type="http://schemas.openxmlformats.org/officeDocument/2006/relationships/hyperlink" Target="https://www.trade.gov/market-intelligence/peru-electric-mo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1059</TotalTime>
  <Pages>17</Pages>
  <Words>5252</Words>
  <Characters>29939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Finbar MAUNSELL</cp:lastModifiedBy>
  <cp:revision>3</cp:revision>
  <dcterms:created xsi:type="dcterms:W3CDTF">2026-05-26T02:39:00Z</dcterms:created>
  <dcterms:modified xsi:type="dcterms:W3CDTF">2026-06-04T01:29:00Z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