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26476" w14:textId="193BE48F" w:rsidR="00734EAA" w:rsidRDefault="00772B77" w:rsidP="00912873">
      <w:pPr>
        <w:rPr>
          <w:rFonts w:eastAsia="Times New Roman"/>
          <w:b/>
          <w:color w:val="7030A0"/>
          <w:shd w:val="clear" w:color="auto" w:fill="FFFFFF"/>
        </w:rPr>
      </w:pPr>
      <w:r>
        <w:rPr>
          <w:rFonts w:eastAsia="Times New Roman"/>
          <w:b/>
          <w:color w:val="7030A0"/>
          <w:shd w:val="clear" w:color="auto" w:fill="FFFFFF"/>
        </w:rPr>
        <w:t xml:space="preserve">XDoS Attack ( </w:t>
      </w:r>
      <w:r w:rsidRPr="00772B77">
        <w:rPr>
          <w:rFonts w:eastAsia="Times New Roman"/>
          <w:b/>
          <w:color w:val="7030A0"/>
          <w:shd w:val="clear" w:color="auto" w:fill="FFFFFF"/>
        </w:rPr>
        <w:t>XML denial-of-service attack</w:t>
      </w:r>
      <w:r>
        <w:rPr>
          <w:rFonts w:eastAsia="Times New Roman"/>
          <w:b/>
          <w:color w:val="7030A0"/>
          <w:shd w:val="clear" w:color="auto" w:fill="FFFFFF"/>
        </w:rPr>
        <w:t xml:space="preserve"> )</w:t>
      </w:r>
    </w:p>
    <w:p w14:paraId="4B69223C" w14:textId="77777777" w:rsidR="00734EAA" w:rsidRDefault="00734EAA" w:rsidP="00912873">
      <w:pPr>
        <w:rPr>
          <w:rFonts w:eastAsia="Times New Roman"/>
          <w:b/>
          <w:color w:val="7030A0"/>
          <w:shd w:val="clear" w:color="auto" w:fill="FFFFFF"/>
        </w:rPr>
      </w:pPr>
    </w:p>
    <w:p w14:paraId="32EC746C" w14:textId="77777777" w:rsidR="00B226A5" w:rsidRPr="006F18A3" w:rsidRDefault="00B226A5" w:rsidP="00912873">
      <w:pPr>
        <w:rPr>
          <w:rFonts w:eastAsia="Times New Roman"/>
          <w:b/>
          <w:color w:val="7030A0"/>
          <w:shd w:val="clear" w:color="auto" w:fill="FFFFFF"/>
        </w:rPr>
      </w:pPr>
    </w:p>
    <w:p w14:paraId="4DDEF068" w14:textId="3EAF9FD7" w:rsidR="008A6E5A" w:rsidRDefault="000E5AF2" w:rsidP="00DC3B06">
      <w:pPr>
        <w:jc w:val="both"/>
        <w:rPr>
          <w:rFonts w:eastAsia="Times New Roman"/>
          <w:b/>
          <w:color w:val="000000" w:themeColor="text1"/>
          <w:sz w:val="20"/>
          <w:szCs w:val="20"/>
          <w:shd w:val="clear" w:color="auto" w:fill="FFFFFF"/>
        </w:rPr>
      </w:pPr>
      <w:r w:rsidRPr="006C3857">
        <w:rPr>
          <w:rFonts w:eastAsia="Times New Roman"/>
          <w:b/>
          <w:color w:val="000000" w:themeColor="text1"/>
          <w:sz w:val="20"/>
          <w:szCs w:val="20"/>
          <w:shd w:val="clear" w:color="auto" w:fill="FFFFFF"/>
        </w:rPr>
        <w:t xml:space="preserve">Description </w:t>
      </w:r>
      <w:r w:rsidR="00AB240A" w:rsidRPr="006C3857">
        <w:rPr>
          <w:rFonts w:eastAsia="Times New Roman"/>
          <w:b/>
          <w:color w:val="000000" w:themeColor="text1"/>
          <w:sz w:val="20"/>
          <w:szCs w:val="20"/>
          <w:shd w:val="clear" w:color="auto" w:fill="FFFFFF"/>
        </w:rPr>
        <w:t>1</w:t>
      </w:r>
    </w:p>
    <w:p w14:paraId="29BC0550" w14:textId="708D9188" w:rsidR="00772B77" w:rsidRPr="00772B77" w:rsidRDefault="00772B77" w:rsidP="00DC3B06">
      <w:pPr>
        <w:jc w:val="both"/>
        <w:rPr>
          <w:rFonts w:eastAsia="Times New Roman"/>
          <w:color w:val="000000" w:themeColor="text1"/>
          <w:sz w:val="20"/>
          <w:szCs w:val="20"/>
          <w:shd w:val="clear" w:color="auto" w:fill="FFFFFF"/>
        </w:rPr>
      </w:pPr>
      <w:r w:rsidRPr="00772B77">
        <w:rPr>
          <w:rFonts w:eastAsia="Times New Roman"/>
          <w:color w:val="000000" w:themeColor="text1"/>
          <w:sz w:val="20"/>
          <w:szCs w:val="20"/>
          <w:shd w:val="clear" w:color="auto" w:fill="FFFFFF"/>
        </w:rPr>
        <w:t>An XML denial-of-service attack (XDoS attack) is a content-borne denial-of-service attack whose purpose is to shut down a web service or system running that service. A common XDoS attack occurs when an XML message is sent with a multitude of digital signatures and a naive parser would look at each signature and use all the CPU cycles, eating up all resources. These are less common than inadvertent XDoS attacks which occur when a programming error by a trusted customer causes a handshake to go into an infinite loop.</w:t>
      </w:r>
      <w:r>
        <w:rPr>
          <w:rFonts w:eastAsia="Times New Roman"/>
          <w:color w:val="000000" w:themeColor="text1"/>
          <w:sz w:val="20"/>
          <w:szCs w:val="20"/>
          <w:shd w:val="clear" w:color="auto" w:fill="FFFFFF"/>
        </w:rPr>
        <w:t xml:space="preserve"> [1]</w:t>
      </w:r>
    </w:p>
    <w:p w14:paraId="136599D3" w14:textId="77777777" w:rsidR="00B55B77" w:rsidRDefault="00B55B77" w:rsidP="00B55B77">
      <w:pPr>
        <w:jc w:val="both"/>
        <w:rPr>
          <w:rFonts w:eastAsia="Times New Roman"/>
          <w:color w:val="000000" w:themeColor="text1"/>
          <w:sz w:val="20"/>
          <w:szCs w:val="20"/>
        </w:rPr>
      </w:pPr>
    </w:p>
    <w:p w14:paraId="032A929A" w14:textId="061D9795" w:rsidR="00772B77" w:rsidRDefault="00B55B77" w:rsidP="00B55B77">
      <w:pPr>
        <w:jc w:val="both"/>
        <w:rPr>
          <w:rFonts w:eastAsia="Times New Roman"/>
          <w:b/>
          <w:color w:val="000000" w:themeColor="text1"/>
          <w:sz w:val="20"/>
          <w:szCs w:val="20"/>
        </w:rPr>
      </w:pPr>
      <w:r w:rsidRPr="00B55B77">
        <w:rPr>
          <w:rFonts w:eastAsia="Times New Roman"/>
          <w:b/>
          <w:color w:val="000000" w:themeColor="text1"/>
          <w:sz w:val="20"/>
          <w:szCs w:val="20"/>
        </w:rPr>
        <w:t>Description 2</w:t>
      </w:r>
    </w:p>
    <w:p w14:paraId="60F95F4C" w14:textId="77777777" w:rsidR="00915BE6" w:rsidRDefault="00915BE6" w:rsidP="00B55B77">
      <w:pPr>
        <w:jc w:val="both"/>
        <w:rPr>
          <w:rFonts w:eastAsia="Times New Roman"/>
          <w:b/>
          <w:color w:val="000000" w:themeColor="text1"/>
          <w:sz w:val="20"/>
          <w:szCs w:val="20"/>
        </w:rPr>
      </w:pPr>
      <w:bookmarkStart w:id="0" w:name="_GoBack"/>
      <w:bookmarkEnd w:id="0"/>
    </w:p>
    <w:p w14:paraId="4083A8ED"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XML DoS attacks are type of application-level DoS attacks and are extremely asymmetric. To deliver the attack payload, an attacker needs to spend only a fraction of the processing power or bandwidth that the victim needs to spend to handle the payload. Worse still, DoS vulnerabilities in code that processes XML are also extremely widespread. Even if you’re using thoroughly tested parsers like those found in the Microsoft .NET Framework System.Xml classes, your code can still be vulnerable unless you take explicit steps to protect it.</w:t>
      </w:r>
    </w:p>
    <w:p w14:paraId="15F45CB9" w14:textId="77777777" w:rsidR="00772B77" w:rsidRPr="00772B77" w:rsidRDefault="00772B77" w:rsidP="00772B77">
      <w:pPr>
        <w:jc w:val="both"/>
        <w:rPr>
          <w:rFonts w:eastAsia="Times New Roman"/>
          <w:color w:val="000000" w:themeColor="text1"/>
          <w:sz w:val="20"/>
          <w:szCs w:val="20"/>
        </w:rPr>
      </w:pPr>
    </w:p>
    <w:p w14:paraId="5A95E9C4"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XML bomb attack</w:t>
      </w:r>
    </w:p>
    <w:p w14:paraId="4435E5C3"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One type of especially nasty XML DoS attack is the XML bomb—a block of XML that is both well-formed and valid according to the rules of an XML schema but which crashes or hangs a program when that program attempts to parse it. The best-known example of an XML bomb is probably the Exponential Entity Expansion attack. This attack is based on the three properties of XML which are;</w:t>
      </w:r>
    </w:p>
    <w:p w14:paraId="62BC3058"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Substitution entities</w:t>
      </w:r>
    </w:p>
    <w:p w14:paraId="68979D3F"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Nested entities</w:t>
      </w:r>
    </w:p>
    <w:p w14:paraId="1B786EB4"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Inline DTDs</w:t>
      </w:r>
    </w:p>
    <w:p w14:paraId="763BA9AF"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An attacker can take advantage of these three properties of XML to craft a malicious XML bomb. The attacker writes an XML document with nested entities with more than just one level deep. He nests his entities many levels deep, as shown here:</w:t>
      </w:r>
    </w:p>
    <w:p w14:paraId="69E9848D" w14:textId="77777777" w:rsidR="00772B77" w:rsidRPr="00772B77" w:rsidRDefault="00772B77" w:rsidP="00772B77">
      <w:pPr>
        <w:jc w:val="both"/>
        <w:rPr>
          <w:rFonts w:eastAsia="Times New Roman"/>
          <w:color w:val="000000" w:themeColor="text1"/>
          <w:sz w:val="20"/>
          <w:szCs w:val="20"/>
        </w:rPr>
      </w:pPr>
    </w:p>
    <w:p w14:paraId="3E8EF74E"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&lt;?xml version="1.0"?&gt;</w:t>
      </w:r>
    </w:p>
    <w:p w14:paraId="0DB23C43"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&lt;!DOCTYPE lolz [</w:t>
      </w:r>
    </w:p>
    <w:p w14:paraId="09BE906A"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 xml:space="preserve">  &lt;!ENTITY lol "lol"&gt;</w:t>
      </w:r>
    </w:p>
    <w:p w14:paraId="6EB6DD37"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 xml:space="preserve">  &lt;!ENTITY lol2 "&amp;lol;&amp;lol;&amp;lol;&amp;lol;&amp;lol;&amp;lol;&amp;lol;&amp;lol;&amp;lol;&amp;lol;"&gt;</w:t>
      </w:r>
    </w:p>
    <w:p w14:paraId="78517559"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 xml:space="preserve">  &lt;!ENTITY lol3 "&amp;lol2;&amp;lol2;&amp;lol2;&amp;lol2;&amp;lol2;&amp;lol2;&amp;lol2;&amp;lol2;&amp;lol2;&amp;lol2;"&gt;</w:t>
      </w:r>
    </w:p>
    <w:p w14:paraId="680FC699"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 xml:space="preserve">  &lt;!ENTITY lol4 "&amp;lol3;&amp;lol3;&amp;lol3;&amp;lol3;&amp;lol3;&amp;lol3;&amp;lol3;&amp;lol3;&amp;lol3;&amp;lol3;"&gt;</w:t>
      </w:r>
    </w:p>
    <w:p w14:paraId="4042D1BF"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 xml:space="preserve">  &lt;!ENTITY lol5 "&amp;lol4;&amp;lol4;&amp;lol4;&amp;lol4;&amp;lol4;&amp;lol4;&amp;lol4;&amp;lol4;&amp;lol4;&amp;lol4;"&gt;</w:t>
      </w:r>
    </w:p>
    <w:p w14:paraId="5E755105"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 xml:space="preserve">  &lt;!ENTITY lol6 "&amp;lol5;&amp;lol5;&amp;lol5;&amp;lol5;&amp;lol5;&amp;lol5;&amp;lol5;&amp;lol5;&amp;lol5;&amp;lol5;"&gt;</w:t>
      </w:r>
    </w:p>
    <w:p w14:paraId="55B21557"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 xml:space="preserve">  &lt;!ENTITY lol7 "&amp;lol6;&amp;lol6;&amp;lol6;&amp;lol6;&amp;lol6;&amp;lol6;&amp;lol6;&amp;lol6;&amp;lol6;&amp;lol6;"&gt;</w:t>
      </w:r>
    </w:p>
    <w:p w14:paraId="2BE9935B"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 xml:space="preserve">  &lt;!ENTITY lol8 "&amp;lol7;&amp;lol7;&amp;lol7;&amp;lol7;&amp;lol7;&amp;lol7;&amp;lol7;&amp;lol7;&amp;lol7;&amp;lol7;"&gt;</w:t>
      </w:r>
    </w:p>
    <w:p w14:paraId="3AC6E15A"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 xml:space="preserve">  &lt;!ENTITY lol9 "&amp;lol8;&amp;lol8;&amp;lol8;&amp;lol8;&amp;lol8;&amp;lol8;&amp;lol8;&amp;lol8;&amp;lol8;&amp;lol8;"&gt;</w:t>
      </w:r>
    </w:p>
    <w:p w14:paraId="7AC0049F"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]&gt;</w:t>
      </w:r>
    </w:p>
    <w:p w14:paraId="337E3A2E"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&lt;lolz&gt;&amp;lol9;&lt;/lolz&gt;</w:t>
      </w:r>
    </w:p>
    <w:p w14:paraId="0C8AB847" w14:textId="77777777" w:rsidR="00772B77" w:rsidRPr="00772B77" w:rsidRDefault="00772B77" w:rsidP="00772B77">
      <w:pPr>
        <w:jc w:val="both"/>
        <w:rPr>
          <w:rFonts w:eastAsia="Times New Roman"/>
          <w:color w:val="000000" w:themeColor="text1"/>
          <w:sz w:val="20"/>
          <w:szCs w:val="20"/>
        </w:rPr>
      </w:pPr>
    </w:p>
    <w:p w14:paraId="40CC2CCC"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This attack is called "Billion Laughs Attack". It should be noted that this XML is both well-formed and valid according to the rules of the DTD. When an XML parser loads this document, it sees that it includes one root element, “lolz”, that contains the text “&amp;lol9;”. However, “&amp;lol9;” is a defined entity that expands to a string containing ten “&amp;lol8;” strings. Each “&amp;lol8;” string is a defined entity that expands to ten “&amp;lol7;” strings, and so forth. After all the entity expansions have been processed, this small (&lt; 1 KB) block of XML will actually contain a billion “lol”s, taking up almost 3GB of memory!</w:t>
      </w:r>
    </w:p>
    <w:p w14:paraId="73DF6001" w14:textId="77777777" w:rsidR="00772B77" w:rsidRPr="00772B77" w:rsidRDefault="00772B77" w:rsidP="00772B77">
      <w:pPr>
        <w:jc w:val="both"/>
        <w:rPr>
          <w:rFonts w:eastAsia="Times New Roman"/>
          <w:color w:val="000000" w:themeColor="text1"/>
          <w:sz w:val="20"/>
          <w:szCs w:val="20"/>
        </w:rPr>
      </w:pPr>
    </w:p>
    <w:p w14:paraId="5B72F4A8" w14:textId="77777777" w:rsidR="00772B77" w:rsidRP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Defending Against XML Bombs</w:t>
      </w:r>
    </w:p>
    <w:p w14:paraId="589C321A" w14:textId="1C5A177E" w:rsidR="00772B77" w:rsidRDefault="00772B77" w:rsidP="00772B77">
      <w:pPr>
        <w:jc w:val="both"/>
        <w:rPr>
          <w:rFonts w:eastAsia="Times New Roman"/>
          <w:color w:val="000000" w:themeColor="text1"/>
          <w:sz w:val="20"/>
          <w:szCs w:val="20"/>
        </w:rPr>
      </w:pPr>
      <w:r w:rsidRPr="00772B77">
        <w:rPr>
          <w:rFonts w:eastAsia="Times New Roman"/>
          <w:color w:val="000000" w:themeColor="text1"/>
          <w:sz w:val="20"/>
          <w:szCs w:val="20"/>
        </w:rPr>
        <w:t>The easiest way to defend against all types of XML entity attacks is to simply disable altogether the use of inline DTD schemas in your XML parsing objects. This is a straightforward application of the principle of attack surface reduction: if you’re not using a feature, turn it off so that attackers won’t be able to abuse it.</w:t>
      </w:r>
      <w:r>
        <w:rPr>
          <w:rFonts w:eastAsia="Times New Roman"/>
          <w:color w:val="000000" w:themeColor="text1"/>
          <w:sz w:val="20"/>
          <w:szCs w:val="20"/>
        </w:rPr>
        <w:t xml:space="preserve"> [2] [3]</w:t>
      </w:r>
    </w:p>
    <w:p w14:paraId="52CEC98B" w14:textId="77777777" w:rsidR="00AB240A" w:rsidRDefault="00AB240A" w:rsidP="00DC3B06">
      <w:pPr>
        <w:jc w:val="both"/>
        <w:rPr>
          <w:rFonts w:eastAsia="Times New Roman"/>
          <w:color w:val="000000" w:themeColor="text1"/>
          <w:sz w:val="20"/>
          <w:szCs w:val="20"/>
        </w:rPr>
      </w:pPr>
    </w:p>
    <w:p w14:paraId="68A7C6F8" w14:textId="77777777" w:rsidR="00B55B77" w:rsidRDefault="00B55B77" w:rsidP="00DC3B06">
      <w:pPr>
        <w:jc w:val="both"/>
        <w:rPr>
          <w:rFonts w:eastAsia="Times New Roman"/>
          <w:color w:val="000000" w:themeColor="text1"/>
          <w:sz w:val="20"/>
          <w:szCs w:val="20"/>
        </w:rPr>
      </w:pPr>
    </w:p>
    <w:p w14:paraId="3B72BA0F" w14:textId="77777777" w:rsidR="00AB240A" w:rsidRPr="006F18A3" w:rsidRDefault="00AB240A" w:rsidP="003D72F0">
      <w:pPr>
        <w:pStyle w:val="NormalWeb"/>
        <w:shd w:val="clear" w:color="auto" w:fill="FFFFFF"/>
        <w:spacing w:before="120" w:beforeAutospacing="0" w:after="120" w:afterAutospacing="0"/>
        <w:rPr>
          <w:rFonts w:eastAsia="Times New Roman"/>
          <w:b/>
          <w:color w:val="7030A0"/>
          <w:shd w:val="clear" w:color="auto" w:fill="FFFFFF"/>
        </w:rPr>
      </w:pPr>
    </w:p>
    <w:p w14:paraId="50196A1D" w14:textId="77777777" w:rsidR="008A6E5A" w:rsidRPr="006F18A3" w:rsidRDefault="008A6E5A"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sidRPr="006F18A3">
        <w:rPr>
          <w:rFonts w:eastAsia="Times New Roman"/>
          <w:b/>
          <w:color w:val="7030A0"/>
          <w:shd w:val="clear" w:color="auto" w:fill="FFFFFF"/>
        </w:rPr>
        <w:t>Reference</w:t>
      </w:r>
    </w:p>
    <w:p w14:paraId="0215076B" w14:textId="5F819153" w:rsidR="00772B77" w:rsidRDefault="00772B77"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sidRPr="00772B77">
        <w:rPr>
          <w:rFonts w:eastAsia="Times New Roman"/>
          <w:b/>
          <w:color w:val="7030A0"/>
          <w:sz w:val="20"/>
          <w:szCs w:val="20"/>
          <w:shd w:val="clear" w:color="auto" w:fill="FFFFFF"/>
        </w:rPr>
        <w:t>[1]</w:t>
      </w:r>
      <w:r>
        <w:rPr>
          <w:rFonts w:eastAsia="Times New Roman"/>
          <w:b/>
          <w:color w:val="7030A0"/>
          <w:sz w:val="20"/>
          <w:szCs w:val="20"/>
          <w:shd w:val="clear" w:color="auto" w:fill="FFFFFF"/>
        </w:rPr>
        <w:t xml:space="preserve"> </w:t>
      </w:r>
      <w:hyperlink r:id="rId7" w:history="1">
        <w:r w:rsidRPr="00AD6CDD">
          <w:rPr>
            <w:rStyle w:val="Hyperlink"/>
            <w:rFonts w:eastAsia="Times New Roman"/>
            <w:b/>
            <w:sz w:val="20"/>
            <w:szCs w:val="20"/>
            <w:shd w:val="clear" w:color="auto" w:fill="FFFFFF"/>
          </w:rPr>
          <w:t>https://en.wikipedia.org/wiki/XML_denial-of-service_attack</w:t>
        </w:r>
      </w:hyperlink>
    </w:p>
    <w:p w14:paraId="314061D7" w14:textId="0DF646B5" w:rsidR="00772B77" w:rsidRDefault="00772B77"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 xml:space="preserve">[2] </w:t>
      </w:r>
      <w:hyperlink r:id="rId8" w:history="1">
        <w:r w:rsidRPr="00AD6CDD">
          <w:rPr>
            <w:rStyle w:val="Hyperlink"/>
            <w:rFonts w:eastAsia="Times New Roman"/>
            <w:b/>
            <w:sz w:val="20"/>
            <w:szCs w:val="20"/>
            <w:shd w:val="clear" w:color="auto" w:fill="FFFFFF"/>
          </w:rPr>
          <w:t>http://download.microsoft.com/download/b/1/9/b1919f9a-4cde-4b67-8b68-c143f9defcd9/msdnmagazine2009_11en-us.pdf</w:t>
        </w:r>
      </w:hyperlink>
    </w:p>
    <w:p w14:paraId="474405AE" w14:textId="20E5ECCE" w:rsidR="00772B77" w:rsidRDefault="00772B77"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 xml:space="preserve">[3] </w:t>
      </w:r>
      <w:hyperlink r:id="rId9" w:history="1">
        <w:r w:rsidRPr="00AD6CDD">
          <w:rPr>
            <w:rStyle w:val="Hyperlink"/>
            <w:rFonts w:eastAsia="Times New Roman"/>
            <w:b/>
            <w:sz w:val="20"/>
            <w:szCs w:val="20"/>
            <w:shd w:val="clear" w:color="auto" w:fill="FFFFFF"/>
          </w:rPr>
          <w:t>http://mytechnicaldocs.blogspot.com/2012/04/xml-dos-attacks.html</w:t>
        </w:r>
      </w:hyperlink>
    </w:p>
    <w:p w14:paraId="3425CE7B" w14:textId="77777777" w:rsidR="00772B77" w:rsidRDefault="00772B77"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p>
    <w:p w14:paraId="34059607" w14:textId="77777777" w:rsidR="00772B77" w:rsidRPr="00772B77" w:rsidRDefault="00772B77"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p>
    <w:p w14:paraId="19045970" w14:textId="77777777" w:rsidR="00B55B77" w:rsidRDefault="00B55B77" w:rsidP="00AB240A">
      <w:pPr>
        <w:widowControl w:val="0"/>
        <w:autoSpaceDE w:val="0"/>
        <w:autoSpaceDN w:val="0"/>
        <w:adjustRightInd w:val="0"/>
        <w:spacing w:after="240" w:line="360" w:lineRule="atLeast"/>
        <w:rPr>
          <w:rStyle w:val="Hyperlink"/>
        </w:rPr>
      </w:pPr>
    </w:p>
    <w:p w14:paraId="5D84846B" w14:textId="77777777" w:rsidR="00AB240A" w:rsidRPr="00AB240A" w:rsidRDefault="00AB240A" w:rsidP="00AB240A">
      <w:pPr>
        <w:widowControl w:val="0"/>
        <w:autoSpaceDE w:val="0"/>
        <w:autoSpaceDN w:val="0"/>
        <w:adjustRightInd w:val="0"/>
        <w:spacing w:after="240" w:line="360" w:lineRule="atLeast"/>
        <w:rPr>
          <w:rStyle w:val="Hyperlink"/>
          <w:color w:val="000000" w:themeColor="text1"/>
          <w:sz w:val="20"/>
          <w:szCs w:val="20"/>
          <w:u w:val="none"/>
        </w:rPr>
      </w:pPr>
    </w:p>
    <w:p w14:paraId="0282A84A" w14:textId="5235FFF4" w:rsidR="00734EAA" w:rsidRPr="002C74EB" w:rsidRDefault="00734EAA" w:rsidP="00EE14A5">
      <w:pPr>
        <w:rPr>
          <w:rFonts w:eastAsia="Times New Roman"/>
          <w:color w:val="000000" w:themeColor="text1"/>
          <w:sz w:val="20"/>
          <w:szCs w:val="20"/>
        </w:rPr>
      </w:pPr>
    </w:p>
    <w:sectPr w:rsidR="00734EAA" w:rsidRPr="002C74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4D336" w14:textId="77777777" w:rsidR="00987907" w:rsidRDefault="00987907" w:rsidP="00B55B77">
      <w:r>
        <w:separator/>
      </w:r>
    </w:p>
  </w:endnote>
  <w:endnote w:type="continuationSeparator" w:id="0">
    <w:p w14:paraId="519E4563" w14:textId="77777777" w:rsidR="00987907" w:rsidRDefault="00987907" w:rsidP="00B5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4F21D" w14:textId="77777777" w:rsidR="00987907" w:rsidRDefault="00987907" w:rsidP="00B55B77">
      <w:r>
        <w:separator/>
      </w:r>
    </w:p>
  </w:footnote>
  <w:footnote w:type="continuationSeparator" w:id="0">
    <w:p w14:paraId="42AC5A57" w14:textId="77777777" w:rsidR="00987907" w:rsidRDefault="00987907" w:rsidP="00B55B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0.75pt;height:10.7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6">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3">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5">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7"/>
  </w:num>
  <w:num w:numId="4">
    <w:abstractNumId w:val="0"/>
  </w:num>
  <w:num w:numId="5">
    <w:abstractNumId w:val="28"/>
  </w:num>
  <w:num w:numId="6">
    <w:abstractNumId w:val="34"/>
  </w:num>
  <w:num w:numId="7">
    <w:abstractNumId w:val="20"/>
  </w:num>
  <w:num w:numId="8">
    <w:abstractNumId w:val="33"/>
  </w:num>
  <w:num w:numId="9">
    <w:abstractNumId w:val="16"/>
  </w:num>
  <w:num w:numId="10">
    <w:abstractNumId w:val="5"/>
  </w:num>
  <w:num w:numId="11">
    <w:abstractNumId w:val="23"/>
  </w:num>
  <w:num w:numId="12">
    <w:abstractNumId w:val="29"/>
  </w:num>
  <w:num w:numId="13">
    <w:abstractNumId w:val="26"/>
  </w:num>
  <w:num w:numId="14">
    <w:abstractNumId w:val="17"/>
  </w:num>
  <w:num w:numId="15">
    <w:abstractNumId w:val="36"/>
  </w:num>
  <w:num w:numId="16">
    <w:abstractNumId w:val="10"/>
  </w:num>
  <w:num w:numId="17">
    <w:abstractNumId w:val="18"/>
  </w:num>
  <w:num w:numId="18">
    <w:abstractNumId w:val="24"/>
  </w:num>
  <w:num w:numId="19">
    <w:abstractNumId w:val="31"/>
  </w:num>
  <w:num w:numId="20">
    <w:abstractNumId w:val="35"/>
  </w:num>
  <w:num w:numId="21">
    <w:abstractNumId w:val="13"/>
  </w:num>
  <w:num w:numId="22">
    <w:abstractNumId w:val="32"/>
  </w:num>
  <w:num w:numId="23">
    <w:abstractNumId w:val="15"/>
  </w:num>
  <w:num w:numId="24">
    <w:abstractNumId w:val="8"/>
  </w:num>
  <w:num w:numId="25">
    <w:abstractNumId w:val="30"/>
  </w:num>
  <w:num w:numId="26">
    <w:abstractNumId w:val="9"/>
  </w:num>
  <w:num w:numId="27">
    <w:abstractNumId w:val="4"/>
  </w:num>
  <w:num w:numId="28">
    <w:abstractNumId w:val="21"/>
  </w:num>
  <w:num w:numId="29">
    <w:abstractNumId w:val="19"/>
  </w:num>
  <w:num w:numId="30">
    <w:abstractNumId w:val="22"/>
  </w:num>
  <w:num w:numId="31">
    <w:abstractNumId w:val="2"/>
  </w:num>
  <w:num w:numId="32">
    <w:abstractNumId w:val="25"/>
  </w:num>
  <w:num w:numId="33">
    <w:abstractNumId w:val="11"/>
  </w:num>
  <w:num w:numId="34">
    <w:abstractNumId w:val="1"/>
  </w:num>
  <w:num w:numId="35">
    <w:abstractNumId w:val="14"/>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67891"/>
    <w:rsid w:val="0007584A"/>
    <w:rsid w:val="000A081F"/>
    <w:rsid w:val="000C35E6"/>
    <w:rsid w:val="000D0EE0"/>
    <w:rsid w:val="000D12C8"/>
    <w:rsid w:val="000D35C4"/>
    <w:rsid w:val="000E230B"/>
    <w:rsid w:val="000E5AF2"/>
    <w:rsid w:val="000F48C8"/>
    <w:rsid w:val="000F4939"/>
    <w:rsid w:val="000F7142"/>
    <w:rsid w:val="00100694"/>
    <w:rsid w:val="001200DD"/>
    <w:rsid w:val="001255D2"/>
    <w:rsid w:val="00146D29"/>
    <w:rsid w:val="00157A34"/>
    <w:rsid w:val="00170A25"/>
    <w:rsid w:val="001727DC"/>
    <w:rsid w:val="00174FA2"/>
    <w:rsid w:val="00176E55"/>
    <w:rsid w:val="00180721"/>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423F"/>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57243"/>
    <w:rsid w:val="00662233"/>
    <w:rsid w:val="00683533"/>
    <w:rsid w:val="006A05FB"/>
    <w:rsid w:val="006A4BF8"/>
    <w:rsid w:val="006C0417"/>
    <w:rsid w:val="006C3857"/>
    <w:rsid w:val="006C4CE8"/>
    <w:rsid w:val="006E4186"/>
    <w:rsid w:val="006F18A3"/>
    <w:rsid w:val="006F2445"/>
    <w:rsid w:val="006F658D"/>
    <w:rsid w:val="0070590A"/>
    <w:rsid w:val="00706933"/>
    <w:rsid w:val="007105C7"/>
    <w:rsid w:val="00715315"/>
    <w:rsid w:val="00723E19"/>
    <w:rsid w:val="00734EAA"/>
    <w:rsid w:val="007550D9"/>
    <w:rsid w:val="00755259"/>
    <w:rsid w:val="00760DEC"/>
    <w:rsid w:val="007631BE"/>
    <w:rsid w:val="00772B77"/>
    <w:rsid w:val="0077467F"/>
    <w:rsid w:val="00781CF9"/>
    <w:rsid w:val="007864B5"/>
    <w:rsid w:val="007A6477"/>
    <w:rsid w:val="007B0A83"/>
    <w:rsid w:val="007C2490"/>
    <w:rsid w:val="007D6800"/>
    <w:rsid w:val="007E5BC6"/>
    <w:rsid w:val="007F23DB"/>
    <w:rsid w:val="00817A28"/>
    <w:rsid w:val="00822CC3"/>
    <w:rsid w:val="008260B1"/>
    <w:rsid w:val="008341AE"/>
    <w:rsid w:val="0084126D"/>
    <w:rsid w:val="008651C4"/>
    <w:rsid w:val="00882D6F"/>
    <w:rsid w:val="00883411"/>
    <w:rsid w:val="008960C0"/>
    <w:rsid w:val="008A5038"/>
    <w:rsid w:val="008A5BF7"/>
    <w:rsid w:val="008A68F4"/>
    <w:rsid w:val="008A6E5A"/>
    <w:rsid w:val="008B55AC"/>
    <w:rsid w:val="008C1406"/>
    <w:rsid w:val="008C595F"/>
    <w:rsid w:val="008C7141"/>
    <w:rsid w:val="008D63CD"/>
    <w:rsid w:val="008F2157"/>
    <w:rsid w:val="008F6C96"/>
    <w:rsid w:val="00907219"/>
    <w:rsid w:val="00910D5E"/>
    <w:rsid w:val="00912873"/>
    <w:rsid w:val="00915BE6"/>
    <w:rsid w:val="00920A1A"/>
    <w:rsid w:val="00944E01"/>
    <w:rsid w:val="0094683D"/>
    <w:rsid w:val="00967782"/>
    <w:rsid w:val="00974045"/>
    <w:rsid w:val="009811BE"/>
    <w:rsid w:val="009812EF"/>
    <w:rsid w:val="00987907"/>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0398"/>
    <w:rsid w:val="00A665B9"/>
    <w:rsid w:val="00A715A1"/>
    <w:rsid w:val="00A73708"/>
    <w:rsid w:val="00A80EA2"/>
    <w:rsid w:val="00A82422"/>
    <w:rsid w:val="00A86076"/>
    <w:rsid w:val="00A916BD"/>
    <w:rsid w:val="00AB240A"/>
    <w:rsid w:val="00AB497B"/>
    <w:rsid w:val="00AC1B4E"/>
    <w:rsid w:val="00AD6788"/>
    <w:rsid w:val="00AE2EE0"/>
    <w:rsid w:val="00AE5329"/>
    <w:rsid w:val="00B02FFC"/>
    <w:rsid w:val="00B07A12"/>
    <w:rsid w:val="00B226A5"/>
    <w:rsid w:val="00B25093"/>
    <w:rsid w:val="00B26EB4"/>
    <w:rsid w:val="00B275FB"/>
    <w:rsid w:val="00B508EE"/>
    <w:rsid w:val="00B521DD"/>
    <w:rsid w:val="00B55B77"/>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3B8"/>
    <w:rsid w:val="00F46F52"/>
    <w:rsid w:val="00F4787D"/>
    <w:rsid w:val="00F666D6"/>
    <w:rsid w:val="00F7553E"/>
    <w:rsid w:val="00F771F8"/>
    <w:rsid w:val="00F94049"/>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A3"/>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link w:val="ListParagraphChar"/>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customStyle="1" w:styleId="ListParagraphChar">
    <w:name w:val="List Paragraph Char"/>
    <w:basedOn w:val="DefaultParagraphFont"/>
    <w:link w:val="ListParagraph"/>
    <w:uiPriority w:val="34"/>
    <w:rsid w:val="0045423F"/>
    <w:rPr>
      <w:lang w:val="en-US"/>
    </w:rPr>
  </w:style>
  <w:style w:type="character" w:styleId="FollowedHyperlink">
    <w:name w:val="FollowedHyperlink"/>
    <w:basedOn w:val="DefaultParagraphFont"/>
    <w:uiPriority w:val="99"/>
    <w:semiHidden/>
    <w:unhideWhenUsed/>
    <w:rsid w:val="00AB240A"/>
    <w:rPr>
      <w:color w:val="954F72" w:themeColor="followedHyperlink"/>
      <w:u w:val="single"/>
    </w:rPr>
  </w:style>
  <w:style w:type="paragraph" w:styleId="Header">
    <w:name w:val="header"/>
    <w:basedOn w:val="Normal"/>
    <w:link w:val="HeaderChar"/>
    <w:uiPriority w:val="99"/>
    <w:unhideWhenUsed/>
    <w:rsid w:val="00B55B77"/>
    <w:pPr>
      <w:tabs>
        <w:tab w:val="center" w:pos="4680"/>
        <w:tab w:val="right" w:pos="9360"/>
      </w:tabs>
    </w:pPr>
  </w:style>
  <w:style w:type="character" w:customStyle="1" w:styleId="HeaderChar">
    <w:name w:val="Header Char"/>
    <w:basedOn w:val="DefaultParagraphFont"/>
    <w:link w:val="Header"/>
    <w:uiPriority w:val="99"/>
    <w:rsid w:val="00B55B77"/>
    <w:rPr>
      <w:rFonts w:cs="Times New Roman"/>
      <w:szCs w:val="24"/>
      <w:lang w:val="en-US"/>
    </w:rPr>
  </w:style>
  <w:style w:type="paragraph" w:styleId="Footer">
    <w:name w:val="footer"/>
    <w:basedOn w:val="Normal"/>
    <w:link w:val="FooterChar"/>
    <w:uiPriority w:val="99"/>
    <w:unhideWhenUsed/>
    <w:rsid w:val="00B55B77"/>
    <w:pPr>
      <w:tabs>
        <w:tab w:val="center" w:pos="4680"/>
        <w:tab w:val="right" w:pos="9360"/>
      </w:tabs>
    </w:pPr>
  </w:style>
  <w:style w:type="character" w:customStyle="1" w:styleId="FooterChar">
    <w:name w:val="Footer Char"/>
    <w:basedOn w:val="DefaultParagraphFont"/>
    <w:link w:val="Footer"/>
    <w:uiPriority w:val="99"/>
    <w:rsid w:val="00B55B77"/>
    <w:rPr>
      <w:rFonts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155727980">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1376431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824398948">
      <w:bodyDiv w:val="1"/>
      <w:marLeft w:val="0"/>
      <w:marRight w:val="0"/>
      <w:marTop w:val="0"/>
      <w:marBottom w:val="0"/>
      <w:divBdr>
        <w:top w:val="none" w:sz="0" w:space="0" w:color="auto"/>
        <w:left w:val="none" w:sz="0" w:space="0" w:color="auto"/>
        <w:bottom w:val="none" w:sz="0" w:space="0" w:color="auto"/>
        <w:right w:val="none" w:sz="0" w:space="0" w:color="auto"/>
      </w:divBdr>
    </w:div>
    <w:div w:id="871460953">
      <w:bodyDiv w:val="1"/>
      <w:marLeft w:val="0"/>
      <w:marRight w:val="0"/>
      <w:marTop w:val="0"/>
      <w:marBottom w:val="0"/>
      <w:divBdr>
        <w:top w:val="none" w:sz="0" w:space="0" w:color="auto"/>
        <w:left w:val="none" w:sz="0" w:space="0" w:color="auto"/>
        <w:bottom w:val="none" w:sz="0" w:space="0" w:color="auto"/>
        <w:right w:val="none" w:sz="0" w:space="0" w:color="auto"/>
      </w:divBdr>
    </w:div>
    <w:div w:id="89747616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33630738">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159347485">
      <w:bodyDiv w:val="1"/>
      <w:marLeft w:val="0"/>
      <w:marRight w:val="0"/>
      <w:marTop w:val="0"/>
      <w:marBottom w:val="0"/>
      <w:divBdr>
        <w:top w:val="none" w:sz="0" w:space="0" w:color="auto"/>
        <w:left w:val="none" w:sz="0" w:space="0" w:color="auto"/>
        <w:bottom w:val="none" w:sz="0" w:space="0" w:color="auto"/>
        <w:right w:val="none" w:sz="0" w:space="0" w:color="auto"/>
      </w:divBdr>
    </w:div>
    <w:div w:id="1215968460">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47092923">
      <w:bodyDiv w:val="1"/>
      <w:marLeft w:val="0"/>
      <w:marRight w:val="0"/>
      <w:marTop w:val="0"/>
      <w:marBottom w:val="0"/>
      <w:divBdr>
        <w:top w:val="none" w:sz="0" w:space="0" w:color="auto"/>
        <w:left w:val="none" w:sz="0" w:space="0" w:color="auto"/>
        <w:bottom w:val="none" w:sz="0" w:space="0" w:color="auto"/>
        <w:right w:val="none" w:sz="0" w:space="0" w:color="auto"/>
      </w:divBdr>
    </w:div>
    <w:div w:id="1918053514">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1988705252">
      <w:bodyDiv w:val="1"/>
      <w:marLeft w:val="0"/>
      <w:marRight w:val="0"/>
      <w:marTop w:val="0"/>
      <w:marBottom w:val="0"/>
      <w:divBdr>
        <w:top w:val="none" w:sz="0" w:space="0" w:color="auto"/>
        <w:left w:val="none" w:sz="0" w:space="0" w:color="auto"/>
        <w:bottom w:val="none" w:sz="0" w:space="0" w:color="auto"/>
        <w:right w:val="none" w:sz="0" w:space="0" w:color="auto"/>
      </w:divBdr>
    </w:div>
    <w:div w:id="2016347050">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XML_denial-of-service_attack" TargetMode="External"/><Relationship Id="rId8" Type="http://schemas.openxmlformats.org/officeDocument/2006/relationships/hyperlink" Target="http://download.microsoft.com/download/b/1/9/b1919f9a-4cde-4b67-8b68-c143f9defcd9/msdnmagazine2009_11en-us.pdf" TargetMode="External"/><Relationship Id="rId9" Type="http://schemas.openxmlformats.org/officeDocument/2006/relationships/hyperlink" Target="http://mytechnicaldocs.blogspot.com/2012/04/xml-dos-attack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2</Pages>
  <Words>608</Words>
  <Characters>3472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288</cp:revision>
  <dcterms:created xsi:type="dcterms:W3CDTF">2017-04-06T08:02:00Z</dcterms:created>
  <dcterms:modified xsi:type="dcterms:W3CDTF">2017-06-11T06:22:00Z</dcterms:modified>
</cp:coreProperties>
</file>