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200" w:before="0"/>
        <w:jc w:val="center"/>
      </w:pPr>
      <w:r>
        <w:rPr>
          <w:rFonts w:ascii="SimHei" w:cs="SimHei" w:eastAsia="SimHei" w:hAnsi="SimHei"/>
          <w:b/>
          <w:bCs/>
          <w:color w:val="003366"/>
          <w:sz w:val="52"/>
          <w:szCs w:val="52"/>
        </w:rPr>
        <w:t xml:space="preserve">投资研究报告</w:t>
      </w:r>
    </w:p>
    <w:p>
      <w:pPr>
        <w:spacing w:after="160" w:before="0"/>
        <w:jc w:val="center"/>
      </w:pPr>
      <w:r>
        <w:rPr>
          <w:rFonts w:ascii="SimHei" w:cs="SimHei" w:eastAsia="SimHei" w:hAnsi="SimHei"/>
          <w:b/>
          <w:bCs/>
          <w:color w:val="1565C0"/>
          <w:sz w:val="40"/>
          <w:szCs w:val="40"/>
        </w:rPr>
        <w:t xml:space="preserve">杰华特微电子（688141.SH）</w:t>
      </w:r>
    </w:p>
    <w:p>
      <w:pPr>
        <w:spacing w:after="120" w:before="0"/>
        <w:jc w:val="center"/>
      </w:pPr>
      <w:r>
        <w:rPr>
          <w:rFonts w:ascii="SimSun" w:cs="SimSun" w:eastAsia="SimSun" w:hAnsi="SimSun"/>
          <w:b/>
          <w:bCs/>
          <w:color w:val="B8860B"/>
          <w:sz w:val="28"/>
          <w:szCs w:val="28"/>
        </w:rPr>
        <w:t xml:space="preserve">乘国产算力东风，模拟龙头蓄势待发</w:t>
      </w:r>
    </w:p>
    <w:p>
      <w:pPr>
        <w:pBdr>
          <w:bottom w:val="single" w:color="003366" w:sz="6"/>
        </w:pBdr>
        <w:spacing w:after="80" w:before="80"/>
      </w:pPr>
    </w:p>
    <w:p>
      <w:pPr>
        <w:spacing w:after="100" w:before="1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报告类型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深度研究报告（含业绩预测）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研究日期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2026年7月3日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股票代码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688141.SH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最新收盘价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156.00 元（2026-07-03）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行业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半导体·模拟芯片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公司财报 / 国信证券 / 东吴证券 / IRA本地数据库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⚠ 本报告仅供投资参考，不构成投资建议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03366"/>
          <w:sz w:val="28"/>
          <w:szCs w:val="28"/>
        </w:rPr>
        <w:t xml:space="preserve">一、公司概况</w:t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杰华特微电子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（688141.SH，Joulwatt）成立于2013年，2022年在科创板上市，是中国领先的Fabless模拟与混合信号芯片设计公司。产品线覆盖：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电源管理芯片（PMIC）：DC-DC转换器、LDO、DrMOS、多相控制器等，2025年营收23.23亿元，占比87%，毛利率26.8%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信号链芯片：通过并购天易合芯、领芯微切入，2025年营收2.57亿元（同比+1211%），占比9.7%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功率产品：DrMOS、GaN等，2025年营收0.57亿元，占比2.1%（当前毛利率为负，处于爬坡期）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核心竞争力：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在售产品型号超3700款；研发人员1202人（占比约55%）；持续布局汽车电子（ASIL-D PMIC）、新能源、计算存储等增量赛道；DrMOS产品已打入Intel VR14/IMVP9.3规格，并深度绑定寒武纪等国产算力客户。</w:t>
      </w:r>
    </w:p>
    <w:p>
      <w:pPr>
        <w:spacing w:after="100" w:before="100"/>
      </w:pPr>
      <w:r>
        <w:t xml:space="preserve"/>
      </w:r>
    </w:p>
    <w:p>
      <w:pPr>
        <w:pBdr>
          <w:bottom w:val="single" w:color="003366" w:sz="6"/>
        </w:pBdr>
        <w:spacing w:after="80" w:before="80"/>
      </w:pPr>
    </w:p>
    <w:p>
      <w:pPr>
        <w:spacing w:after="100" w:before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03366"/>
          <w:sz w:val="28"/>
          <w:szCs w:val="28"/>
        </w:rPr>
        <w:t xml:space="preserve">二、历史财务数据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350"/>
        <w:gridCol w:w="1350"/>
        <w:gridCol w:w="1560"/>
        <w:gridCol w:w="1350"/>
        <w:gridCol w:w="2550"/>
      </w:tblGrid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财年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营收（亿元）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同比增速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归母净利润（亿元）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净利率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2021A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10.42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+63.7%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1.42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13.6%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2022A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14.48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+39.0%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1.37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9.5%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2023A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12.97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-10.4%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-5.31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NM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2024A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16.79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+29.5%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-6.03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NM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2025A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26.55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+58.2%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-7.17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NM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26.37%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2026Q1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7.65（单季）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YoY +44.8%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-2.76（单季）</w:t>
            </w:r>
          </w:p>
        </w:tc>
        <w:tc>
          <w:tcPr>
            <w:tcW w:type="dxa" w:w="13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NM</w:t>
            </w:r>
          </w:p>
        </w:tc>
        <w:tc>
          <w:tcPr>
            <w:tcW w:type="dxa" w:w="25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待披露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注：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2023-2026年公司处于高研发投入期，亏损主因是研发费用高企（2025年研发费用9.57亿元，研发费率36.06%），并非主业竞争力恶化。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03366"/>
          <w:sz w:val="24"/>
          <w:szCs w:val="24"/>
        </w:rPr>
        <w:t xml:space="preserve">季度收入与归母净利润（单季，亿元）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季度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营收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环比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归母净利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同比（营收）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趋势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2023Q1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3.02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-0.57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2023Q2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3.47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14.9%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-1.34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2023Q3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3.56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2.6%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-1.73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2023Q4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2.92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-18.0%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-1.67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2024Q1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3.29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12.7%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-2.09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8.9%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2024Q2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4.22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28.3%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-1.28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21.6%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2024Q3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4.41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4.5%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-1.70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23.9%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2024Q4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4.87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10.4%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-0.96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66.8%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↓弱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2025Q1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5.28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8.4%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-1.13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60.5%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→稳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2025Q2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6.59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24.8%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-1.82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56.2%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→稳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2025Q3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7.55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14.6%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-1.65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71.2%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↑强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2025Q4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7.13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-5.6%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-2.57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46.4%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↑强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2026Q1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7.65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7.3%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-2.76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44.9%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↑强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关键发现①：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2026Q1单季营收7.65亿创历史新高，超过2025年任意一个季度（峰值Q3为7.55亿），YoY +44.8%，收入增长势头强劲。</w:t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关键发现②：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2026Q1归母亏损2.76亿，YoY亏损扩大（2025Q1为-1.13亿），主因是研发费用持续高强度投入，系主动战略选择而非被动结果。</w:t>
      </w:r>
    </w:p>
    <w:p>
      <w:pPr>
        <w:spacing w:after="100" w:before="100"/>
      </w:pPr>
      <w:r>
        <w:t xml:space="preserve"/>
      </w:r>
    </w:p>
    <w:p>
      <w:pPr>
        <w:pBdr>
          <w:bottom w:val="single" w:color="003366" w:sz="6"/>
        </w:pBdr>
        <w:spacing w:after="80" w:before="80"/>
      </w:pPr>
    </w:p>
    <w:p>
      <w:pPr>
        <w:spacing w:after="100" w:before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03366"/>
          <w:sz w:val="28"/>
          <w:szCs w:val="28"/>
        </w:rPr>
        <w:t xml:space="preserve">三、产业链地位与核心催化</w:t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国产算力 DrMOS 核心供应商：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杰华特是目前少数能量产 DrMOS 的国内厂商之一。随着华为昇腾、寒武纪等国产算力芯片大规模出货，服务器与训练集群对 DrMOS 需求爆发式增长，公司凭借提前布局 Intel VR14/IMVP9.3 规格及自研车规 DrMOS 率先受益。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机会（Bull Case）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风险（Bear Case）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需求侧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国产算力算力订单放量 / 汽车电子国产替代加速 / 新能源渗透率提升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算力资本开支收缩 / 终端消费电子需求疲软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供给侧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竞争对手（TI/ADI）本土响应慢，替代窗口期长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国内同质化竞争加剧（圣邦微、芯源微等），价格战压制毛利率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公司层面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3700+ SKU 形成平台优势；信号链并购协同释放；车规产品放量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研发费率偏高（36%）短期持续；毛利率未进入上升通道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估值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业绩兑现前景清晰，机构提前布局；6月以来股价+80%</w:t>
            </w:r>
          </w:p>
        </w:tc>
        <w:tc>
          <w:tcPr>
            <w:tcW w:type="dxa" w:w="3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当前股价156元，PS约16x（2026E），估值透支预期存回调风险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03366" w:sz="6"/>
        </w:pBdr>
        <w:spacing w:after="80" w:before="80"/>
      </w:pPr>
    </w:p>
    <w:p>
      <w:pPr>
        <w:spacing w:after="100" w:before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03366"/>
          <w:sz w:val="28"/>
          <w:szCs w:val="28"/>
        </w:rPr>
        <w:t xml:space="preserve">四、业绩预测（2026E–2027E）</w:t>
      </w:r>
    </w:p>
    <w:p>
      <w:pPr>
        <w:pStyle w:val="Heading2"/>
        <w:spacing w:after="120" w:before="240"/>
      </w:pPr>
      <w:r>
        <w:rPr>
          <w:b/>
          <w:bCs/>
          <w:color w:val="003366"/>
          <w:sz w:val="24"/>
          <w:szCs w:val="24"/>
        </w:rPr>
        <w:t xml:space="preserve">4.1 预测假设与逻辑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季节性规律：Q1历来为淡季（营收最低），Q2起环比回升，Q3/Q4为旺季；2026Q1营收7.65亿已超2025年全年各季峰值，旺季弹性可期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同比增速收敛：2024年增速29.5%→2025年58.2%→2026E预计55-65%（DrMOS放量支撑高增，基数效应逐步显现）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毛利率：2025年为26.4%，2026E预计小幅改善至27-29%（产品结构优化+规模摊薄，但价格竞争制约上行空间）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研发费率：2025年36.1%，2026E预计降至30-33%（研发投入绝对额仍增长，但收入基数扩大使费率下行）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扭亏节点：参考国信证券（2027E+0.60亿）与东吴证券（2027E+6.22亿），综合判断2027年下半年进入正盈利区间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03366"/>
          <w:sz w:val="24"/>
          <w:szCs w:val="24"/>
        </w:rPr>
        <w:t xml:space="preserve">4.2 2026年季度预测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700"/>
        <w:gridCol w:w="1700"/>
        <w:gridCol w:w="1700"/>
        <w:gridCol w:w="1700"/>
        <w:gridCol w:w="1160"/>
      </w:tblGrid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2026Q1（实际）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2026Q2（预测）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2026Q3（预测）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2026Q4（预测）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2026E全年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营收（亿）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7.65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10.5 ~ 11.5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13.0 ~ 14.5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12.0 ~ 13.5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43 ~ 47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同比（营收）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+44.8%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+59%~+75%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+72%~+92%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+68%~+89%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+62%~+77%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归母净利（亿）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-2.76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-1.2 ~ -1.8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-0.5 ~ -1.0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B8860B"/>
                <w:sz w:val="18"/>
                <w:szCs w:val="18"/>
              </w:rPr>
              <w:t xml:space="preserve">-0.3 ~ +0.2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18"/>
                <w:szCs w:val="18"/>
              </w:rPr>
              <w:t xml:space="preserve">-4.5 ~ -5.8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预测毛利率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待披露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~27%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~28%</w:t>
            </w:r>
          </w:p>
        </w:tc>
        <w:tc>
          <w:tcPr>
            <w:tcW w:type="dxa" w:w="1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~29%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~27-29%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中枢预测：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2026年全年营收约45亿元（同比+69%），归母净利约-5.0亿元（亏损同比收窄）。</w:t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乐观情景：</w:t>
      </w:r>
      <w:r>
        <w:rPr>
          <w:rFonts w:ascii="SimSun" w:cs="SimSun" w:eastAsia="SimSun" w:hAnsi="SimSun"/>
          <w:b/>
          <w:bCs/>
          <w:color w:val="1A7A3C"/>
          <w:sz w:val="20"/>
          <w:szCs w:val="20"/>
        </w:rPr>
        <w:t xml:space="preserve">+67-77%营收 / 净亏损&lt;4.5亿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——DrMOS及车规产品超预期放量，毛利率提前至30%+</w:t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悲观情景：</w:t>
      </w:r>
      <w:r>
        <w:rPr>
          <w:rFonts w:ascii="SimSun" w:cs="SimSun" w:eastAsia="SimSun" w:hAnsi="SimSun"/>
          <w:b/>
          <w:bCs/>
          <w:color w:val="C0392B"/>
          <w:sz w:val="20"/>
          <w:szCs w:val="20"/>
        </w:rPr>
        <w:t xml:space="preserve">+45-60%营收 / 净亏损&gt;6亿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——算力资本开支不及预期 / 竞争加剧压价 / 研发费用超预增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03366"/>
          <w:sz w:val="24"/>
          <w:szCs w:val="24"/>
        </w:rPr>
        <w:t xml:space="preserve">4.3 中长期展望（2027E–2028E）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机构/来源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2026E营收（亿）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2026E净利（亿）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2027E营收（亿）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2027E净利（亿）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国信证券（2026-04）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36.60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-2.75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48.75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+0.60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东吴证券（2026-06）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44.51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-4.88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75.77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7A3C"/>
                <w:sz w:val="18"/>
                <w:szCs w:val="18"/>
              </w:rPr>
              <w:t xml:space="preserve">+6.22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本报告预测（IRA）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43 ~ 47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0392B"/>
                <w:sz w:val="18"/>
                <w:szCs w:val="18"/>
              </w:rPr>
              <w:t xml:space="preserve">-4.5 ~ -5.8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65 ~ 78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7A3C"/>
                <w:sz w:val="18"/>
                <w:szCs w:val="18"/>
              </w:rPr>
              <w:t xml:space="preserve">+3 ~ +8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东吴证券 2026年6月14日研报（最新，含DrMOS深度催化逻辑）对2027-2028年营收预测显著高于国信，本报告中枢预测对两者取中，并将2026Q1实际数据作为锚点向后推演。</w:t>
      </w:r>
    </w:p>
    <w:p>
      <w:pPr>
        <w:spacing w:after="100" w:before="100"/>
      </w:pPr>
      <w:r>
        <w:t xml:space="preserve"/>
      </w:r>
    </w:p>
    <w:p>
      <w:pPr>
        <w:pBdr>
          <w:bottom w:val="single" w:color="003366" w:sz="6"/>
        </w:pBdr>
        <w:spacing w:after="80" w:before="80"/>
      </w:pPr>
    </w:p>
    <w:p>
      <w:pPr>
        <w:spacing w:after="100" w:before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03366"/>
          <w:sz w:val="28"/>
          <w:szCs w:val="28"/>
        </w:rPr>
        <w:t xml:space="preserve">五、估值与投资建议</w:t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当前估值（2026-07-03）：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股价156.00元，总市值约702亿元。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320"/>
        <w:gridCol w:w="2520"/>
        <w:gridCol w:w="252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估值指标</w:t>
            </w:r>
          </w:p>
        </w:tc>
        <w:tc>
          <w:tcPr>
            <w:tcW w:type="dxa" w:w="23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当前值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0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判断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PS（2025A）</w:t>
            </w:r>
          </w:p>
        </w:tc>
        <w:tc>
          <w:tcPr>
            <w:tcW w:type="dxa" w:w="23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26.4x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基于实际营收26.55亿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偏贵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PS（2026E）</w:t>
            </w:r>
          </w:p>
        </w:tc>
        <w:tc>
          <w:tcPr>
            <w:tcW w:type="dxa" w:w="23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14.9~16.3x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基于预测营收43~47亿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B8860B"/>
                <w:sz w:val="18"/>
                <w:szCs w:val="18"/>
              </w:rPr>
              <w:t xml:space="preserve">合理偏贵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PS（2027E）</w:t>
            </w:r>
          </w:p>
        </w:tc>
        <w:tc>
          <w:tcPr>
            <w:tcW w:type="dxa" w:w="23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9~11x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基于预测营收65~78亿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B8860B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PE（2027E）</w:t>
            </w:r>
          </w:p>
        </w:tc>
        <w:tc>
          <w:tcPr>
            <w:tcW w:type="dxa" w:w="23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2E"/>
                <w:sz w:val="18"/>
                <w:szCs w:val="18"/>
              </w:rPr>
              <w:t xml:space="preserve">88~234x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2E"/>
                <w:sz w:val="18"/>
                <w:szCs w:val="18"/>
              </w:rPr>
              <w:t xml:space="preserve">基于预测净利3~8亿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C0392B"/>
                <w:sz w:val="18"/>
                <w:szCs w:val="18"/>
              </w:rPr>
              <w:t xml:space="preserve">估值透支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SimHei" w:cs="SimHei" w:eastAsia="SimHei" w:hAnsi="SimHei"/>
          <w:b/>
          <w:bCs/>
          <w:color w:val="003366"/>
          <w:sz w:val="20"/>
          <w:szCs w:val="20"/>
        </w:rPr>
        <w:t xml:space="preserve">综合研判：</w:t>
      </w:r>
      <w:r>
        <w:rPr>
          <w:rFonts w:ascii="SimSun" w:cs="SimSun" w:eastAsia="SimSun" w:hAnsi="SimSun"/>
          <w:color w:val="1A1A2E"/>
          <w:sz w:val="20"/>
          <w:szCs w:val="20"/>
        </w:rPr>
        <w:t xml:space="preserve">公司基本面处于"收入高增、亏损收窄"的关键转折前夜，核心逻辑清晰（DrMOS + 汽车电子 + 信号链并购协同）。然而近一个月股价从86元飙升至156元（+80%），已在较大程度上Price-in了2027年盈利改善预期，短期估值透支风险上升。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中长期（12个月+）：基本面强劲，维持积极看法。若2026Q2-Q3数据验证季度营收持续突破（&gt;11亿/季），目标价区间 180~220元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短期（1-3个月）：注意回调风险，建议分批布局；股价若回落至120~130元区间，安全边际显著改善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核心跟踪指标：季度营收环比、毛利率改善幅度、DrMOS客户导入进展、研发费率拐点</w:t>
      </w:r>
    </w:p>
    <w:p>
      <w:pPr>
        <w:spacing w:after="100" w:before="100"/>
      </w:pPr>
      <w:r>
        <w:t xml:space="preserve"/>
      </w:r>
    </w:p>
    <w:p>
      <w:pPr>
        <w:pBdr>
          <w:bottom w:val="single" w:color="003366" w:sz="6"/>
        </w:pBdr>
        <w:spacing w:after="80" w:before="80"/>
      </w:pPr>
    </w:p>
    <w:p>
      <w:pPr>
        <w:spacing w:after="100" w:before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003366"/>
          <w:sz w:val="28"/>
          <w:szCs w:val="28"/>
        </w:rPr>
        <w:t xml:space="preserve">六、风险提示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需求风险：国内AI算力资本开支增速放缓，或主要算力客户订单推迟，导致DrMOS出货量不及预期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竞争风险：国内同类厂商（圣邦微、芯源微、南芯半导体等）价格竞争加剧，压制毛利率提升路径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研发风险：高强度研发投入（费率超35%）短期内难以转化为规模优势，亏损周期延长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估值风险：当前PS（2026E）约15x仍处历史高位，若业绩不及预期可能引发估值收缩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客户集中风险：若算力主线客户（寒武纪等）份额受到冲击，连带影响公司业绩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imSun" w:cs="SimSun" w:eastAsia="SimSun" w:hAnsi="SimSun"/>
          <w:color w:val="1A1A2E"/>
          <w:sz w:val="20"/>
          <w:szCs w:val="20"/>
        </w:rPr>
        <w:t xml:space="preserve">宏观风险：中美科技摩擦升级、半导体出口管制扩大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2026-07-03T11:42:25.138Z</dcterms:created>
  <dcterms:modified xsi:type="dcterms:W3CDTF">2026-07-03T11:42:25.139Z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