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4" w:lineRule="auto"/>
      </w:pPr>
      <w:r>
        <w:rPr>
          <w:rFonts w:ascii="Arial" w:hAnsi="Arial" w:eastAsia="PingFang SC"/>
          <w:b/>
          <w:color w:val="0B2545"/>
          <w:sz w:val="42"/>
        </w:rPr>
        <w:t>杰华特（688141.SH）业绩预测研报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日期：2026-07-08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评级结论：</w:t>
      </w:r>
      <w:r>
        <w:rPr>
          <w:rFonts w:ascii="Arial" w:hAnsi="Arial" w:eastAsia="PingFang SC"/>
          <w:b/>
          <w:sz w:val="20"/>
        </w:rPr>
        <w:t>买入，定义为“潜力股”，不是短期利润兑现型标的。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1. 核心判断</w:t>
      </w:r>
    </w:p>
    <w:p>
      <w:pPr>
        <w:spacing w:after="100" w:before="0" w:line="254" w:lineRule="auto"/>
      </w:pPr>
      <w:r>
        <w:rPr>
          <w:rFonts w:ascii="Arial" w:hAnsi="Arial" w:eastAsia="PingFang SC"/>
          <w:b/>
          <w:sz w:val="20"/>
        </w:rPr>
        <w:t>杰华特当前的核心机会不在 2026 年利润，而在 2027 年扭亏与 2028 年 AI 服务器电源产品的利润弹性。</w:t>
      </w:r>
      <w:r>
        <w:rPr>
          <w:rFonts w:ascii="Arial" w:hAnsi="Arial" w:eastAsia="PingFang SC"/>
          <w:b w:val="0"/>
          <w:sz w:val="20"/>
        </w:rPr>
        <w:t xml:space="preserve"> 2025 年和 2026Q1 收入增长已经验证需求，但 2026Q1 毛利率仍低、净利润仍亏，说明利润兑现尚未被财务报表验证。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本文采用稳健口径：以国信证券和东吴证券的一致预期为锚，再用 AceCamp 专家纪要修正。2026-07-06 版本中 2026E 收入 58-70 亿元的激进外推，不作为本报告基准，只作为超乐观情形参考。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2. 口径校验</w:t>
      </w:r>
    </w:p>
    <w:p>
      <w:pPr>
        <w:spacing w:after="100" w:before="0" w:line="254" w:lineRule="auto"/>
      </w:pPr>
      <w:r>
        <w:rPr>
          <w:rFonts w:ascii="Menlo" w:hAnsi="Menlo" w:eastAsia="PingFang SC"/>
          <w:b w:val="0"/>
          <w:sz w:val="20"/>
        </w:rPr>
        <w:t>financial_reports</w:t>
      </w:r>
      <w:r>
        <w:rPr>
          <w:rFonts w:ascii="Arial" w:hAnsi="Arial" w:eastAsia="PingFang SC"/>
          <w:b w:val="0"/>
          <w:sz w:val="20"/>
        </w:rPr>
        <w:t xml:space="preserve"> 中 </w:t>
      </w:r>
      <w:r>
        <w:rPr>
          <w:rFonts w:ascii="Menlo" w:hAnsi="Menlo" w:eastAsia="PingFang SC"/>
          <w:b w:val="0"/>
          <w:sz w:val="20"/>
        </w:rPr>
        <w:t>2025Q4</w:t>
      </w:r>
      <w:r>
        <w:rPr>
          <w:rFonts w:ascii="Arial" w:hAnsi="Arial" w:eastAsia="PingFang SC"/>
          <w:b w:val="0"/>
          <w:sz w:val="20"/>
        </w:rPr>
        <w:t xml:space="preserve"> 更接近全年/年报累计口径，而不是单四季度口径。2025Q4 收入 26.55 亿元、SQLite 净利润 -7.52 亿元；国信证券披露 2025 年收入 26.55 亿元、归母净利润 -7.17 亿元，收入一致，利润存在“净利润 vs 归母净利润”口径差异 [来源: SQLite financial_reports；broker_report/464a34af07da · 2026-04-02]。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2026Q1 财务看板显示收入 7.65 亿元，同比增长 44.8%；净利润 -2.93 亿元；毛利率 25.32%，同比下降 14.7pct [来源: mcp__ira.financial_dashboard · 2026Q1]。</w:t>
      </w:r>
    </w:p>
    <w:p>
      <w:pPr>
        <w:spacing w:after="100" w:before="0" w:line="254" w:lineRule="auto"/>
      </w:pPr>
      <w:r>
        <w:rPr>
          <w:rFonts w:ascii="Arial" w:hAnsi="Arial" w:eastAsia="PingFang SC"/>
          <w:b/>
          <w:sz w:val="20"/>
        </w:rPr>
        <w:t>口径结论：历史锚点使用 SQLite 财务库；未来预测统一采用券商“归母净利润”口径；二者不直接混同。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3. 业绩总表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期间</w:t>
            </w:r>
          </w:p>
        </w:tc>
        <w:tc>
          <w:tcPr>
            <w:tcW w:type="dxa" w:w="295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一致预期或实际锚点（营收/净利润）</w:t>
            </w:r>
          </w:p>
        </w:tc>
        <w:tc>
          <w:tcPr>
            <w:tcW w:type="dxa" w:w="2951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纪要修正后预测（营收/净利润）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修正值（Δ营收/Δ净利润）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判断</w:t>
            </w:r>
          </w:p>
        </w:tc>
      </w:tr>
      <w:tr>
        <w:tc>
          <w:tcPr>
            <w:tcW w:type="dxa" w:w="1655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2025A 实际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26.55 亿 / -7.52 亿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实际锚点，不修正</w:t>
            </w:r>
          </w:p>
        </w:tc>
        <w:tc>
          <w:tcPr>
            <w:tcW w:type="dxa" w:w="288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-</w:t>
            </w:r>
          </w:p>
        </w:tc>
        <w:tc>
          <w:tcPr>
            <w:tcW w:type="dxa" w:w="374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sz w:val="15"/>
              </w:rPr>
              <w:t>收入高增但亏损扩大，利润未兑现 [来源: SQLite financial_reports]</w:t>
            </w:r>
          </w:p>
        </w:tc>
      </w:tr>
      <w:tr>
        <w:tc>
          <w:tcPr>
            <w:tcW w:type="dxa" w:w="1655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2026Q1 实际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7.65 亿 / -2.93 亿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实际锚点，不修正</w:t>
            </w:r>
          </w:p>
        </w:tc>
        <w:tc>
          <w:tcPr>
            <w:tcW w:type="dxa" w:w="2880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-</w:t>
            </w:r>
          </w:p>
        </w:tc>
        <w:tc>
          <w:tcPr>
            <w:tcW w:type="dxa" w:w="3744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sz w:val="15"/>
              </w:rPr>
              <w:t>收入同比 +44.8%，毛利率 25.32%，仍是验证期 [来源: mcp__ira.financial_dashboard]</w:t>
            </w:r>
          </w:p>
        </w:tc>
      </w:tr>
      <w:tr>
        <w:tc>
          <w:tcPr>
            <w:tcW w:type="dxa" w:w="1655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2026E 短期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40.56 亿 / -3.82 亿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43.00 亿 / -3.90 亿</w:t>
            </w:r>
          </w:p>
        </w:tc>
        <w:tc>
          <w:tcPr>
            <w:tcW w:type="dxa" w:w="2880"/>
            <w:tcMar>
              <w:top w:w="65" w:type="dxa"/>
              <w:start w:w="100" w:type="dxa"/>
              <w:bottom w:w="65" w:type="dxa"/>
              <w:end w:w="100" w:type="dxa"/>
            </w:tcMar>
            <w:shd w:fill="FFF7ED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B91C1C"/>
                <w:sz w:val="15"/>
              </w:rPr>
              <w:t>+2.44 亿 🔼6.0% / -0.08 亿 🔽2.1%</w:t>
            </w:r>
          </w:p>
        </w:tc>
        <w:tc>
          <w:tcPr>
            <w:tcW w:type="dxa" w:w="374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sz w:val="15"/>
              </w:rPr>
              <w:t>收入小幅上修，利润略谨慎</w:t>
            </w:r>
          </w:p>
        </w:tc>
      </w:tr>
      <w:tr>
        <w:tc>
          <w:tcPr>
            <w:tcW w:type="dxa" w:w="1655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2027E 中期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62.26 亿 / 3.41 亿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71.50 亿 / 6.00 亿</w:t>
            </w:r>
          </w:p>
        </w:tc>
        <w:tc>
          <w:tcPr>
            <w:tcW w:type="dxa" w:w="2880"/>
            <w:tcMar>
              <w:top w:w="65" w:type="dxa"/>
              <w:start w:w="100" w:type="dxa"/>
              <w:bottom w:w="65" w:type="dxa"/>
              <w:end w:w="100" w:type="dxa"/>
            </w:tcMar>
            <w:shd w:fill="FFF7ED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15803D"/>
                <w:sz w:val="15"/>
              </w:rPr>
              <w:t>+9.24 亿 🔼14.8% / +2.59 亿 🔼76.0%</w:t>
            </w:r>
          </w:p>
        </w:tc>
        <w:tc>
          <w:tcPr>
            <w:tcW w:type="dxa" w:w="3744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sz w:val="15"/>
              </w:rPr>
              <w:t>非华为客户和产能释放带来上修</w:t>
            </w:r>
          </w:p>
        </w:tc>
      </w:tr>
      <w:tr>
        <w:tc>
          <w:tcPr>
            <w:tcW w:type="dxa" w:w="1655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2028E 长期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92.47 亿 / 11.94 亿</w:t>
            </w:r>
          </w:p>
        </w:tc>
        <w:tc>
          <w:tcPr>
            <w:tcW w:type="dxa" w:w="2951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5"/>
              </w:rPr>
              <w:t>100.00 亿 / 12.50 亿</w:t>
            </w:r>
          </w:p>
        </w:tc>
        <w:tc>
          <w:tcPr>
            <w:tcW w:type="dxa" w:w="2880"/>
            <w:tcMar>
              <w:top w:w="65" w:type="dxa"/>
              <w:start w:w="100" w:type="dxa"/>
              <w:bottom w:w="65" w:type="dxa"/>
              <w:end w:w="100" w:type="dxa"/>
            </w:tcMar>
            <w:shd w:fill="FFF7ED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color w:val="15803D"/>
                <w:sz w:val="15"/>
              </w:rPr>
              <w:t>+7.53 亿 🔼8.1% / +0.56 亿 🔼4.7%</w:t>
            </w:r>
          </w:p>
        </w:tc>
        <w:tc>
          <w:tcPr>
            <w:tcW w:type="dxa" w:w="374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sz w:val="15"/>
              </w:rPr>
              <w:t>维持中间偏乐观，但不直接采用东吴上沿</w:t>
            </w:r>
          </w:p>
        </w:tc>
      </w:tr>
    </w:tbl>
    <w:p/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注：2026-2028E 一致预期为国信证券与东吴证券预测均值；纪要修正后预测采用基准区间中点，完整基准区间为 2026E 收入 41-45 亿、归母净利 -4.5 至 -3.3 亿；2027E 收入 65-78 亿、归母净利 4-8 亿；2028E 收入 90-110 亿、归母净利 9-16 亿。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4. 券商观点来源表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研报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日期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核心预测与评级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作为一致预期的角色</w:t>
            </w:r>
          </w:p>
        </w:tc>
      </w:tr>
      <w:t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国信证券《2025年收入增长58%，高研发投入拖累利润》</w:t>
            </w:r>
          </w:p>
        </w:tc>
        <w:tc>
          <w:tcPr>
            <w:tcW w:type="dxa" w:w="2160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2026-04-02</w:t>
            </w:r>
          </w:p>
        </w:tc>
        <w:tc>
          <w:tcPr>
            <w:tcW w:type="dxa" w:w="460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2026-2028E 收入 36.60/48.75/63.27 亿，归母净利 -2.75/0.60/2.48 亿，维持“优于大市” [来源: broker_report/c295f1fe05c9]</w:t>
            </w:r>
          </w:p>
        </w:tc>
        <w:tc>
          <w:tcPr>
            <w:tcW w:type="dxa" w:w="518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保守下沿</w:t>
            </w:r>
          </w:p>
        </w:tc>
      </w:tr>
      <w:tr>
        <w:tc>
          <w:tcPr>
            <w:tcW w:type="dxa" w:w="2232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东吴证券《乘国产算力芯片之风，平台型模拟龙头展DrMOS宏图》</w:t>
            </w:r>
          </w:p>
        </w:tc>
        <w:tc>
          <w:tcPr>
            <w:tcW w:type="dxa" w:w="2160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2026-06-14</w:t>
            </w:r>
          </w:p>
        </w:tc>
        <w:tc>
          <w:tcPr>
            <w:tcW w:type="dxa" w:w="4608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2026-2028E 收入 44.51/75.77/121.66 亿，归母净利 -4.88/6.22/21.40 亿，首次覆盖“买入” [来源: 东吴证券PDF/pdftotext]</w:t>
            </w:r>
          </w:p>
        </w:tc>
        <w:tc>
          <w:tcPr>
            <w:tcW w:type="dxa" w:w="5184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乐观上沿</w:t>
            </w:r>
          </w:p>
        </w:tc>
      </w:tr>
    </w:tbl>
    <w:p/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样本说明：本地可验证、直接覆盖杰华特且包含 2026-2028E 预测的核心研报为 2 篇。行业报告可提供产业趋势证据，但不纳入公司三年业绩一致预期均值。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5. 纪要证据与修正逻辑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752"/>
        <w:gridCol w:w="4752"/>
        <w:gridCol w:w="4752"/>
      </w:tblGrid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纪要变量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纪要证据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对业绩预测的修正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华为占比提升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2026 年华为收入占比预计从历史约 1/4 提升至约 1/3 [来源: acecamp_expert_column/f15f36da8b0e · 2026-07-06]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 xml:space="preserve">2026E 收入向卖方上沿靠近，营收 </w:t>
            </w:r>
            <w:r>
              <w:rPr>
                <w:rFonts w:ascii="Arial" w:hAnsi="Arial" w:eastAsia="PingFang SC"/>
                <w:b/>
                <w:color w:val="15803D"/>
                <w:sz w:val="16"/>
              </w:rPr>
              <w:t>+2.44 亿 🔼6.0%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非华为客户滞后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非华为客户多数仍在评估，预计 2026Q4 才开始规模化放量 [来源: acecamp_expert_column/f15f36da8b0e · 2026-07-06]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 xml:space="preserve">2026E 利润不激进上修，净利 </w:t>
            </w:r>
            <w:r>
              <w:rPr>
                <w:rFonts w:ascii="Arial" w:hAnsi="Arial" w:eastAsia="PingFang SC"/>
                <w:b/>
                <w:color w:val="B91C1C"/>
                <w:sz w:val="16"/>
              </w:rPr>
              <w:t>-0.08 亿 🔽2.1%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华为低价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华为专用料号价格显著低于同规格通用型号 [来源: acecamp_expert_column/f15f36da8b0e · 2026-07-06]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压制 2026 毛利率和净利率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产能扩张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当前 DrMOS 月投入约 6000 片晶圆、月产能约 1800 万颗；2026Q3/Q4 新增数千片，2027Q1/Q2 进一步增长 [来源: acecamp_expert_column/279aee744bbf · 2026-06-23，hot，source_weight=1.2]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 xml:space="preserve">2027E 收入和净利上修，净利 </w:t>
            </w:r>
            <w:r>
              <w:rPr>
                <w:rFonts w:ascii="Arial" w:hAnsi="Arial" w:eastAsia="PingFang SC"/>
                <w:b/>
                <w:color w:val="15803D"/>
                <w:sz w:val="16"/>
              </w:rPr>
              <w:t>+2.59 亿 🔼76.0%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新客户导入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新客户最快 2026 年 10-11 月小批量供货，显著增长主要体现在 2027 年 [来源: acecamp_expert_column/be1d1ebe905d · 2026-05-15，hot，source_weight=1.2]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2027 年是关键兑现窗口</w:t>
            </w:r>
          </w:p>
        </w:tc>
      </w:tr>
    </w:tbl>
    <w:p/>
    <w:p>
      <w:pPr>
        <w:spacing w:after="100" w:before="0" w:line="254" w:lineRule="auto"/>
      </w:pPr>
      <w:r>
        <w:rPr>
          <w:rFonts w:ascii="Arial" w:hAnsi="Arial" w:eastAsia="PingFang SC"/>
          <w:b/>
          <w:sz w:val="20"/>
        </w:rPr>
        <w:t>核心修正句：2026 年只上修收入、不上修利润；2027-2028 年在产能释放和非华为客户导入支撑下，上修收入和利润，但 2028 年不直接采用东吴极乐观上沿。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6. 推理链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已验证事实：2025 年收入 26.55 亿元，2026Q1 收入 7.65 亿元且同比 +44.8%，说明需求和客户导入不是空转 [来源: SQLite financial_reports；mcp__ira.financial_dashboard]。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直接推论：收入端具备继续接近卖方上沿的条件，但 2026Q1 毛利率仅 25.32%、净利润仍亏 2.93 亿元，说明利润释放还没有被财报验证 [来源: mcp__ira.financial_dashboard]。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纪要修正：华为放量支撑 2026 收入；华为低价和非华为客户滞后压制 2026 利润；产能扩张和新客户 2026Q4 起放量支撑 2027-2028 弹性 [来源: acecamp_expert_column/f15f36da8b0e；279aee744bbf；be1d1ebe905d]。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更高层结论：</w:t>
      </w:r>
      <w:r>
        <w:rPr>
          <w:rFonts w:ascii="Arial" w:hAnsi="Arial" w:eastAsia="PingFang SC"/>
          <w:b/>
          <w:sz w:val="20"/>
        </w:rPr>
        <w:t>杰华特不是 2026 年利润股，而是 2027 年扭亏、2028 年利润弹性的潜力股。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7. 一致预期对比与评级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短期 0-6 个月：低于利润想象。2026Q1 仍亏，毛利率低，非华为客户尚未规模化，因此短期不定义为利润兑现。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中期 6-12 个月：收入接近上沿，利润仍需验证。若 2026H2 毛利率回到 28%-30%，且非华为客户开始小批量转批量，利润预测可继续上修。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长期 1-2 年：高于一致预期。2027-2028 年产能释放、客户扩散、产品结构改善三者共振，修正后预测高于卖方均值。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评级结论：</w:t>
      </w:r>
      <w:r>
        <w:rPr>
          <w:rFonts w:ascii="Arial" w:hAnsi="Arial" w:eastAsia="PingFang SC"/>
          <w:b/>
          <w:sz w:val="20"/>
        </w:rPr>
        <w:t>买入，潜力股。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理由：长期修正后预测高于一致预期，但短期和中期没有全面超预期，因此不定义为“大牛股”。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8. 风险与机会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机会：华为 DrMOS 放量；非华为算力客户 2026Q4 起放量；2026H2-2027H1 产能新增；研发费率随收入放大摊薄。</w:t>
      </w:r>
    </w:p>
    <w:p>
      <w:pPr>
        <w:spacing w:after="100" w:before="0" w:line="254" w:lineRule="auto"/>
      </w:pPr>
      <w:r>
        <w:rPr>
          <w:rFonts w:ascii="Arial" w:hAnsi="Arial" w:eastAsia="PingFang SC"/>
          <w:b w:val="0"/>
          <w:sz w:val="20"/>
        </w:rPr>
        <w:t>风险：华为专用料号低价压制毛利率；非华为客户导入延期；国产竞争者跟进引发价格战；研发费用率下降慢于预期；产能、封测、可靠性验证不及预期。</w:t>
      </w:r>
    </w:p>
    <w:p>
      <w:pPr>
        <w:spacing w:after="100" w:before="160" w:line="254" w:lineRule="auto"/>
      </w:pPr>
      <w:r>
        <w:rPr>
          <w:rFonts w:ascii="Arial" w:hAnsi="Arial" w:eastAsia="PingFang SC"/>
          <w:b/>
          <w:color w:val="183B59"/>
          <w:sz w:val="29"/>
        </w:rPr>
        <w:t>9. 核心跟踪指标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752"/>
        <w:gridCol w:w="4752"/>
        <w:gridCol w:w="4752"/>
      </w:tblGrid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指标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看多信号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sz w:val="16"/>
              </w:rPr>
              <w:t>看空信号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2026H2 毛利率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回到 28%-30%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继续低于 27%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非华为客户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2026Q4 小批量转批量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仍停留评估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DrMOS 价格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非华为高价订单占比提升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华为低价订单占比继续上升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研发费率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随收入放大明显下降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shd w:fill="F4F6F8"/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继续高位吞噬毛利</w:t>
            </w:r>
          </w:p>
        </w:tc>
      </w:tr>
      <w:tr>
        <w:tc>
          <w:tcPr>
            <w:tcW w:type="dxa" w:w="23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现金流</w:t>
            </w:r>
          </w:p>
        </w:tc>
        <w:tc>
          <w:tcPr>
            <w:tcW w:type="dxa" w:w="590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经营现金流亏损收窄</w:t>
            </w:r>
          </w:p>
        </w:tc>
        <w:tc>
          <w:tcPr>
            <w:tcW w:type="dxa" w:w="59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 w:val="0"/>
                <w:sz w:val="16"/>
              </w:rPr>
              <w:t>高库存、高应收、高投入同时扩张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b w:val="0"/>
        <w:color w:val="666666"/>
        <w:sz w:val="16"/>
      </w:rPr>
      <w:t>杰华特业绩预测研报 | 2026-07-08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