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59" w:lineRule="auto"/>
      </w:pPr>
      <w:r>
        <w:rPr>
          <w:rFonts w:ascii="Arial" w:hAnsi="Arial" w:eastAsia="System Font"/>
          <w:b/>
          <w:color w:val="0B2545"/>
          <w:sz w:val="42"/>
        </w:rPr>
        <w:t>杰华特（688141.SH）业绩预测研报：事实、共识、变量与修正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日期：2026-07-07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结论：</w:t>
      </w:r>
      <w:r>
        <w:rPr>
          <w:rFonts w:ascii="Arial" w:hAnsi="Arial" w:eastAsia="System Font"/>
          <w:b/>
          <w:sz w:val="21"/>
        </w:rPr>
        <w:t>买入。</w:t>
      </w:r>
      <w:r>
        <w:rPr>
          <w:rFonts w:ascii="Arial" w:hAnsi="Arial" w:eastAsia="System Font"/>
          <w:b w:val="0"/>
          <w:sz w:val="21"/>
        </w:rPr>
        <w:t xml:space="preserve"> 这不是 2026 年利润兑现股，而是 2027 年扭亏、2028 年利润弹性股。当前最值得下注的是“收入确定性已经提高，利润弹性尚未被完全定价”；但必须用毛利率和非华为客户放量来验证。</w:t>
      </w:r>
    </w:p>
    <w:p>
      <w:pPr>
        <w:spacing w:after="120" w:before="200" w:line="259" w:lineRule="auto"/>
      </w:pPr>
      <w:r>
        <w:rPr>
          <w:rFonts w:ascii="Arial" w:hAnsi="Arial" w:eastAsia="System Font"/>
          <w:b/>
          <w:color w:val="1F4D78"/>
          <w:sz w:val="30"/>
        </w:rPr>
        <w:t>1. 已成事实的历史数据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期间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收入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利润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毛利率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事实含义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2024A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16.79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归母净利约 -6.03 亿；SQLite净利润 -6.11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27.35%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低毛利、高研发投入下仍亏损 [来源: LanceDB broker_report chunk cab730e546b4；mcp__ira.text2sql]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2025A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26.55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归母净利 -7.17 亿；SQLite净利润 -7.52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26.37%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收入同比 +58.15%，但亏损扩大，说明收入放量还没转化为利润 [来源: LanceDB broker_report chunk 464a34af07da；mcp__ira.text2sql]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2026Q1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7.65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SQLite净利润 -2.93 亿；东方财富口径归母亏损 2.76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25.32%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收入同比 +44.8%，但毛利率继续承压 [来源: mcp__ira.financial_dashboard；LanceDB web_news chunk 8268b33e09ef]</w:t>
            </w:r>
          </w:p>
        </w:tc>
      </w:tr>
    </w:tbl>
    <w:p/>
    <w:p>
      <w:pPr>
        <w:spacing w:after="120" w:before="0" w:line="259" w:lineRule="auto"/>
      </w:pPr>
      <w:r>
        <w:rPr>
          <w:rFonts w:ascii="Arial" w:hAnsi="Arial" w:eastAsia="System Font"/>
          <w:b/>
          <w:sz w:val="21"/>
        </w:rPr>
        <w:t>历史事实结论：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公司已经证明了“收入能放量”，但还没证明“利润能兑现”。因此，后续预测的核心不是收入有没有增长，而是增长质量：毛利率、研发费率、客户结构。</w:t>
      </w:r>
    </w:p>
    <w:p>
      <w:pPr>
        <w:spacing w:after="120" w:before="200" w:line="259" w:lineRule="auto"/>
      </w:pPr>
      <w:r>
        <w:rPr>
          <w:rFonts w:ascii="Arial" w:hAnsi="Arial" w:eastAsia="System Font"/>
          <w:b/>
          <w:color w:val="1F4D78"/>
          <w:sz w:val="30"/>
        </w:rPr>
        <w:t>2. 三方一致预期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这里的“三方”定义为：国信证券、东吴证券、本文基于二者构造的卖方基准。国信偏保守，东吴偏乐观，二者共同构成市场一致预期的上下沿。</w:t>
      </w:r>
    </w:p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2.1 收入一致预期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预期来源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2026E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2027E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2028E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预期含义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国信证券，保守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36.60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48.75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63.27 亿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高研发拖累，收入稳步增长 [来源: LanceDB broker_report chunk c295f1fe05c9 · 2026-04-02]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卖方基准，均值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40.56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62.26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92.47 亿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2027 扭亏、2028 弹性打开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东吴证券，乐观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44.51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75.77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121.66 亿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DrMOS 与国产算力客户放量，收入加速 [来源: PDF原文 / 东吴证券2026-06-14 第1页、第23页]</w:t>
            </w:r>
          </w:p>
        </w:tc>
      </w:tr>
    </w:tbl>
    <w:p/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2.2 归母净利润一致预期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预期来源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2026E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2027E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2028E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预期含义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国信证券，保守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-2.75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0.60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2.48 亿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2026 亏损收窄，2027 小幅扭亏 [来源: LanceDB broker_report chunk c295f1fe05c9 · 2026-04-02]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卖方基准，均值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-3.82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3.41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11.94 亿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市场隐含：2027 开始利润释放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东吴证券，乐观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-4.88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6.22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21.40 亿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2027-2028 利润弹性很大 [来源: PDF原文 / 东吴证券2026-06-14 第1页、第23页]</w:t>
            </w:r>
          </w:p>
        </w:tc>
      </w:tr>
    </w:tbl>
    <w:p/>
    <w:p>
      <w:pPr>
        <w:spacing w:after="120" w:before="0" w:line="259" w:lineRule="auto"/>
      </w:pPr>
      <w:r>
        <w:rPr>
          <w:rFonts w:ascii="Arial" w:hAnsi="Arial" w:eastAsia="System Font"/>
          <w:b/>
          <w:sz w:val="21"/>
        </w:rPr>
        <w:t>一致预期结论：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三方并不分歧“收入增长”，分歧在“利润释放斜率”。所以我的修正不应该再争论公司能不能增长，而应回答：哪些变量会让公司从国信路径走向东吴路径？</w:t>
      </w:r>
    </w:p>
    <w:p>
      <w:pPr>
        <w:spacing w:after="120" w:before="200" w:line="259" w:lineRule="auto"/>
      </w:pPr>
      <w:r>
        <w:rPr>
          <w:rFonts w:ascii="Arial" w:hAnsi="Arial" w:eastAsia="System Font"/>
          <w:b/>
          <w:color w:val="1F4D78"/>
          <w:sz w:val="30"/>
        </w:rPr>
        <w:t>3. 我从研报和纪要挖出的关键变量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752"/>
        <w:gridCol w:w="4752"/>
        <w:gridCol w:w="4752"/>
      </w:tblGrid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变量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证据</w:t>
            </w:r>
          </w:p>
        </w:tc>
        <w:tc>
          <w:tcPr>
            <w:tcW w:type="dxa" w:w="5543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对一致预期的影响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华为 DrMOS 放量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纪要称 2026 年华为收入占比预计从历史约 1/4 提升至约 1/3，DrMOS 增量主要由华为贡献 [来源: LanceDB acecamp_expert_column chunk f15f36da8b0e · 2026-07-06]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支持 2026 收入向东吴上沿靠近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非华为客户放量时点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纪要称非华为算力卡/服务器客户多数仍在评估，预计 2026Q4 开始规模化放量 [来源: LanceDB acecamp_expert_column chunk f15f36da8b0e · 2026-07-06]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支持 2027 收入和利润上修，但对 2026 利润帮助有限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订单可见度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纪要称订单已基本排至 2026 年底，交付周期从 10-12 周延长至约 20 周 [来源: LanceDB acecamp_expert_column chunk d8688ca371f0 · 2026-07-06]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证明需求真实，提高 2026 收入确定性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产能释放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纪要称 DrMOS 月产能约 1,800 万颗，2026Q3-Q4 晶合集成和中芯国际新增产能，2027Q1-Q2 进一步增长 [来源: LanceDB acecamp_expert_column chunk 279aee744bbf · 2026-06-23 · hot]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支持 2027 高增长，而不只是 2026 一次性订单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华为低价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纪要称华为专用料号价格显著低于同规格通用型号 [来源: LanceDB acecamp_expert_column chunk f15f36da8b0e · 2026-07-06]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压制 2026 毛利率，不支持 2026 利润大幅上修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局部提价和结构改善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纪要称低毛利产品已有局部提价，新客户报价趋向价格区间上限，高单价/高毛利工业和高压 DC-DC 增加 [来源: LanceDB acecamp_expert_column chunk c172521ed8ee、d8688ca371f0 · 2026-07-06]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支持 2027-2028 利润率改善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研发费率摊薄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2025 年研发费用 9.57 亿、研发费率 36.06%，收入扩大后费用率有下降空间 [来源: LanceDB broker_report chunk 464a34af07da · 国信证券2026-04-02]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利润弹性主要来自规模效应，而非单纯涨价</w:t>
            </w:r>
          </w:p>
        </w:tc>
      </w:tr>
    </w:tbl>
    <w:p/>
    <w:p>
      <w:pPr>
        <w:spacing w:after="120" w:before="0" w:line="259" w:lineRule="auto"/>
      </w:pPr>
      <w:r>
        <w:rPr>
          <w:rFonts w:ascii="Arial" w:hAnsi="Arial" w:eastAsia="System Font"/>
          <w:b/>
          <w:sz w:val="21"/>
        </w:rPr>
        <w:t>变量结论：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收入端变量更硬，利润端变量更滞后。收入修正从 2026 开始，利润修正主要落在 2027-2028。</w:t>
      </w:r>
    </w:p>
    <w:p>
      <w:pPr>
        <w:spacing w:after="120" w:before="200" w:line="259" w:lineRule="auto"/>
      </w:pPr>
      <w:r>
        <w:rPr>
          <w:rFonts w:ascii="Arial" w:hAnsi="Arial" w:eastAsia="System Font"/>
          <w:b/>
          <w:color w:val="1F4D78"/>
          <w:sz w:val="30"/>
        </w:rPr>
        <w:t>4. 修正后的预测</w:t>
      </w:r>
    </w:p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4.1 修正前后对比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指标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卖方基准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我的修正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修正方向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核心原因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2026E收入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40.56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41-45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小幅上修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华为放量、订单排至年底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2026E归母净利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-3.82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-4.5 至 -3.3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不上修，略谨慎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华为低价、DrMOS 未普涨、毛利率仍待验证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2027E收入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62.26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65-78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上修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非华为客户 2026Q4 起放量，新增产能释放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2027E归母净利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3.41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4-8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上修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产品结构改善、低毛利产品提价、研发费率摊薄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2028E收入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92.47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90-110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中枢接近，上沿提高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认可东吴方向，但不完全采用其极乐观上沿</w:t>
            </w:r>
          </w:p>
        </w:tc>
      </w:tr>
      <w:tr>
        <w:tc>
          <w:tcPr>
            <w:tcW w:type="dxa" w:w="14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2028E归母净利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11.94 亿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9-16 亿</w:t>
            </w:r>
          </w:p>
        </w:tc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区间覆盖，偏上修</w:t>
            </w:r>
          </w:p>
        </w:tc>
        <w:tc>
          <w:tcPr>
            <w:tcW w:type="dxa" w:w="763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利润弹性存在，但海外拓展和可靠性验证仍限制上沿</w:t>
            </w:r>
          </w:p>
        </w:tc>
      </w:tr>
    </w:tbl>
    <w:p/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4.2 我的三情景预测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7"/>
              </w:rPr>
              <w:t>情景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7"/>
              </w:rPr>
              <w:t>2026E收入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7"/>
              </w:rPr>
              <w:t>2027E收入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7"/>
              </w:rPr>
              <w:t>2028E收入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7"/>
              </w:rPr>
              <w:t>2026E归母净利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7"/>
              </w:rPr>
              <w:t>2027E归母净利</w:t>
            </w:r>
          </w:p>
        </w:tc>
        <w:tc>
          <w:tcPr>
            <w:tcW w:type="dxa" w:w="4175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7"/>
              </w:rPr>
              <w:t>2028E归母净利</w:t>
            </w:r>
          </w:p>
        </w:tc>
      </w:tr>
      <w:tr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5"/>
              </w:rPr>
              <w:t>保守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38-41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55-62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75-85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-5.2 至 -4.0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1-3 亿</w:t>
            </w:r>
          </w:p>
        </w:tc>
        <w:tc>
          <w:tcPr>
            <w:tcW w:type="dxa" w:w="417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5-8 亿</w:t>
            </w:r>
          </w:p>
        </w:tc>
      </w:tr>
      <w:tr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5"/>
              </w:rPr>
              <w:t>基准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41-45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65-78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90-110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-4.5 至 -3.3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4-8 亿</w:t>
            </w:r>
          </w:p>
        </w:tc>
        <w:tc>
          <w:tcPr>
            <w:tcW w:type="dxa" w:w="417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9-16 亿</w:t>
            </w:r>
          </w:p>
        </w:tc>
      </w:tr>
      <w:tr>
        <w:tc>
          <w:tcPr>
            <w:tcW w:type="dxa" w:w="151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5"/>
              </w:rPr>
              <w:t>乐观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45-50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78-90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115-130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-3.2 至 -1.5 亿</w:t>
            </w:r>
          </w:p>
        </w:tc>
        <w:tc>
          <w:tcPr>
            <w:tcW w:type="dxa" w:w="169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8-12 亿</w:t>
            </w:r>
          </w:p>
        </w:tc>
        <w:tc>
          <w:tcPr>
            <w:tcW w:type="dxa" w:w="417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5"/>
              </w:rPr>
              <w:t>16-24 亿</w:t>
            </w:r>
          </w:p>
        </w:tc>
      </w:tr>
    </w:tbl>
    <w:p/>
    <w:p>
      <w:pPr>
        <w:spacing w:after="120" w:before="200" w:line="259" w:lineRule="auto"/>
      </w:pPr>
      <w:r>
        <w:rPr>
          <w:rFonts w:ascii="Arial" w:hAnsi="Arial" w:eastAsia="System Font"/>
          <w:b/>
          <w:color w:val="1F4D78"/>
          <w:sz w:val="30"/>
        </w:rPr>
        <w:t>5. 修正逻辑</w:t>
      </w:r>
    </w:p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5.1 为什么 2026 收入上修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历史数据：2026Q1 收入 7.65 亿，同比 +44.8%。[来源: mcp__ira.financial_dashboard]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纪要数据：订单排至 2026 年底，华为占比提升，DrMOS 增量主要由华为贡献。[来源: LanceDB acecamp_expert_column chunk d8688ca371f0、f15f36da8b0e]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推论：需求不是空转，2026 收入有条件靠近东吴预测上沿。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结论：2026E 收入从卖方基准 40.56 亿修正到 41-45 亿。</w:t>
      </w:r>
    </w:p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5.2 为什么 2026 利润不跟着上修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历史数据：2025 年毛利率 26.37%，2026Q1 毛利率 25.32%，毛利率仍在低位。[来源: LanceDB broker_report chunk 464a34af07da；mcp__ira.financial_dashboard]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纪要数据：华为专用料号价格低于通用型号，DrMOS 未普涨。[来源: LanceDB acecamp_expert_column chunk f15f36da8b0e、c172521ed8ee]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推论：华为放量对收入确定性强，但对利润率不一定强。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结论：2026E 归母净利维持亏损，不做激进上修。</w:t>
      </w:r>
    </w:p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5.3 为什么 2027-2028 利润上修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纪要数据：非华为客户预计 2026Q4 规模化放量；新增产能在 2026Q3-Q4 和 2027Q1-Q2 释放；低毛利产品已局部提价，新客户报价向上。[来源: LanceDB acecamp_expert_column chunk f15f36da8b0e、279aee744bbf、c172521ed8ee]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研报数据：2025 年研发费率 36.06%，收入扩大后存在费用率摊薄空间。[来源: LanceDB broker_report chunk 464a34af07da]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推论：2027 年开始，收入规模、产品结构、价格策略、费用率四个变量可能同向改善。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结论：2027E 归母净利修正到 4-8 亿，2028E 修正到 9-16 亿。</w:t>
      </w:r>
    </w:p>
    <w:p>
      <w:pPr>
        <w:spacing w:after="120" w:before="200" w:line="259" w:lineRule="auto"/>
      </w:pPr>
      <w:r>
        <w:rPr>
          <w:rFonts w:ascii="Arial" w:hAnsi="Arial" w:eastAsia="System Font"/>
          <w:b/>
          <w:color w:val="1F4D78"/>
          <w:sz w:val="30"/>
        </w:rPr>
        <w:t>6. 机会与风险</w:t>
      </w:r>
    </w:p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6.1 机会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752"/>
        <w:gridCol w:w="4752"/>
        <w:gridCol w:w="4752"/>
      </w:tblGrid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机会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证据</w:t>
            </w:r>
          </w:p>
        </w:tc>
        <w:tc>
          <w:tcPr>
            <w:tcW w:type="dxa" w:w="5543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影响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华为 DrMOS 放量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华为收入占比预计提升至约 1/3 [来源: LanceDB acecamp_expert_column chunk f15f36da8b0e]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提高 2026 收入确定性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非华为客户放量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非华为客户预计 2026Q4 起规模化 [来源: LanceDB acecamp_expert_column chunk f15f36da8b0e]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支撑 2027-2028 上修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产能释放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晶合集成、中芯国际新增产能 [来源: LanceDB acecamp_expert_column chunk 279aee744bbf]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支撑收入从订单转为确认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费用率摊薄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2025 年研发费率 36.06%，收入扩大后有摊薄空间 [来源: LanceDB broker_report chunk 464a34af07da]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利润弹性核心来源</w:t>
            </w:r>
          </w:p>
        </w:tc>
      </w:tr>
    </w:tbl>
    <w:p/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6.2 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752"/>
        <w:gridCol w:w="4752"/>
        <w:gridCol w:w="4752"/>
      </w:tblGrid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风险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证据</w:t>
            </w:r>
          </w:p>
        </w:tc>
        <w:tc>
          <w:tcPr>
            <w:tcW w:type="dxa" w:w="5543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影响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华为低价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华为专用料号价格显著低于通用型号 [来源: LanceDB acecamp_expert_column chunk f15f36da8b0e]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收入增长不转化为毛利率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DrMOS 未普涨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纪要显示公司未对 DrMOS 普涨 [来源: LanceDB acecamp_expert_column chunk c172521ed8ee]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2026 利润难以超预期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产能/封测瓶颈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纪要提示晶圆和封测均有瓶颈 [来源: LanceDB acecamp_expert_column chunk d3de2acef5fb]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订单无法按期确认收入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非华为放量延后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多数非华为客户仍在评估 [来源: LanceDB acecamp_expert_column chunk f15f36da8b0e]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2027 业绩上修失败</w:t>
            </w:r>
          </w:p>
        </w:tc>
      </w:tr>
    </w:tbl>
    <w:p/>
    <w:p>
      <w:pPr>
        <w:spacing w:after="120" w:before="200" w:line="259" w:lineRule="auto"/>
      </w:pPr>
      <w:r>
        <w:rPr>
          <w:rFonts w:ascii="Arial" w:hAnsi="Arial" w:eastAsia="System Font"/>
          <w:b/>
          <w:color w:val="1F4D78"/>
          <w:sz w:val="30"/>
        </w:rPr>
        <w:t>7. 买卖观点</w:t>
      </w:r>
    </w:p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7.1 当前观点</w:t>
      </w:r>
    </w:p>
    <w:p>
      <w:pPr>
        <w:spacing w:after="120" w:before="0" w:line="259" w:lineRule="auto"/>
      </w:pPr>
      <w:r>
        <w:rPr>
          <w:rFonts w:ascii="Arial" w:hAnsi="Arial" w:eastAsia="System Font"/>
          <w:b/>
          <w:sz w:val="21"/>
        </w:rPr>
        <w:t>买入。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理由：已成事实的数据证明收入在增长；一致预期已经给出 2027 扭亏框架；纪要提供了华为、非华为客户、订单、产能四类上修证据。当前市场若仍按“2026 亏损公司”定价，会低估 2027-2028 利润弹性。</w:t>
      </w:r>
    </w:p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7.2 买入后的验证点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752"/>
        <w:gridCol w:w="4752"/>
        <w:gridCol w:w="4752"/>
      </w:tblGrid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验证点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达成则</w:t>
            </w:r>
          </w:p>
        </w:tc>
        <w:tc>
          <w:tcPr>
            <w:tcW w:type="dxa" w:w="5543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不达成则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2026H2 毛利率回到 28%-30%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加仓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降低利润预测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非华为客户 2026Q4 放量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加仓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下修 2027 收入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交付周期稳定或缩短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订单可转收入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警惕产能瓶颈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研发费率随收入下降</w:t>
            </w:r>
          </w:p>
        </w:tc>
        <w:tc>
          <w:tcPr>
            <w:tcW w:type="dxa" w:w="6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利润弹性兑现</w:t>
            </w:r>
          </w:p>
        </w:tc>
        <w:tc>
          <w:tcPr>
            <w:tcW w:type="dxa" w:w="554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降低估值倍数</w:t>
            </w:r>
          </w:p>
        </w:tc>
      </w:tr>
    </w:tbl>
    <w:p/>
    <w:p>
      <w:pPr>
        <w:spacing w:after="80" w:before="160" w:line="259" w:lineRule="auto"/>
      </w:pPr>
      <w:r>
        <w:rPr>
          <w:rFonts w:ascii="Arial" w:hAnsi="Arial" w:eastAsia="System Font"/>
          <w:b/>
          <w:color w:val="1F4D78"/>
          <w:sz w:val="25"/>
        </w:rPr>
        <w:t>7.3 卖出条件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7128"/>
        <w:gridCol w:w="7128"/>
      </w:tblGrid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条件</w:t>
            </w:r>
          </w:p>
        </w:tc>
        <w:tc>
          <w:tcPr>
            <w:tcW w:type="dxa" w:w="11016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/>
                <w:sz w:val="18"/>
              </w:rPr>
              <w:t>动作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ystem Font"/>
                <w:b w:val="0"/>
                <w:sz w:val="17"/>
              </w:rPr>
              <w:t>2026H2 毛利率仍低于 26%</w:t>
            </w:r>
          </w:p>
        </w:tc>
        <w:tc>
          <w:tcPr>
            <w:tcW w:type="dxa" w:w="110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卖出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非华为客户 2026Q4 未放量</w:t>
            </w:r>
          </w:p>
        </w:tc>
        <w:tc>
          <w:tcPr>
            <w:tcW w:type="dxa" w:w="110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降仓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收入增长但经营亏损继续扩大</w:t>
            </w:r>
          </w:p>
        </w:tc>
        <w:tc>
          <w:tcPr>
            <w:tcW w:type="dxa" w:w="110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卖出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订单饱满但收入确认不及预期</w:t>
            </w:r>
          </w:p>
        </w:tc>
        <w:tc>
          <w:tcPr>
            <w:tcW w:type="dxa" w:w="110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System Font"/>
                <w:b w:val="0"/>
                <w:sz w:val="17"/>
              </w:rPr>
              <w:t>降仓</w:t>
            </w:r>
          </w:p>
        </w:tc>
      </w:tr>
    </w:tbl>
    <w:p/>
    <w:p>
      <w:pPr>
        <w:spacing w:after="120" w:before="200" w:line="259" w:lineRule="auto"/>
      </w:pPr>
      <w:r>
        <w:rPr>
          <w:rFonts w:ascii="Arial" w:hAnsi="Arial" w:eastAsia="System Font"/>
          <w:b/>
          <w:color w:val="1F4D78"/>
          <w:sz w:val="30"/>
        </w:rPr>
        <w:t>8. 最终判断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杰华特的核心不是“有没有增长”，而是“增长质量是否足够好”。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>我的判断是：</w:t>
      </w:r>
      <w:r>
        <w:rPr>
          <w:rFonts w:ascii="Arial" w:hAnsi="Arial" w:eastAsia="System Font"/>
          <w:b/>
          <w:sz w:val="21"/>
        </w:rPr>
        <w:t>收入端已经值得上修，利润端不能急，但 2027-2028 有明显弹性。</w:t>
      </w:r>
    </w:p>
    <w:p>
      <w:pPr>
        <w:spacing w:after="120" w:before="0" w:line="259" w:lineRule="auto"/>
      </w:pPr>
      <w:r>
        <w:rPr>
          <w:rFonts w:ascii="Arial" w:hAnsi="Arial" w:eastAsia="System Font"/>
          <w:b w:val="0"/>
          <w:sz w:val="21"/>
        </w:rPr>
        <w:t xml:space="preserve">因此给出 </w:t>
      </w:r>
      <w:r>
        <w:rPr>
          <w:rFonts w:ascii="Arial" w:hAnsi="Arial" w:eastAsia="System Font"/>
          <w:b/>
          <w:sz w:val="21"/>
        </w:rPr>
        <w:t>买入</w:t>
      </w:r>
      <w:r>
        <w:rPr>
          <w:rFonts w:ascii="Arial" w:hAnsi="Arial" w:eastAsia="System Font"/>
          <w:b w:val="0"/>
          <w:sz w:val="21"/>
        </w:rPr>
        <w:t>。这笔投资的正确姿势不是赌 2026 年马上盈利，而是跟踪 2026H2 毛利率、非华为客户放量、产能释放和研发费率摊薄。一旦这些验证点兑现，杰华特会从收入成长股升级为利润弹性股。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ystem Font"/>
        <w:b w:val="0"/>
        <w:color w:val="666666"/>
        <w:sz w:val="16"/>
      </w:rPr>
      <w:t>杰华特业绩预测研报 |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System Fon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