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A316F" w14:textId="77777777" w:rsidR="00420073" w:rsidRDefault="00420073" w:rsidP="00757BDD">
      <w:pPr>
        <w:pStyle w:val="a3"/>
        <w:rPr>
          <w:rFonts w:ascii="標楷體" w:eastAsia="標楷體" w:hAnsi="標楷體"/>
        </w:rPr>
      </w:pPr>
      <w:r w:rsidRPr="00420073">
        <w:rPr>
          <w:rFonts w:ascii="標楷體" w:eastAsia="標楷體" w:hAnsi="標楷體" w:hint="eastAsia"/>
        </w:rPr>
        <w:t>國際財務管理</w:t>
      </w:r>
      <w:r>
        <w:rPr>
          <w:rFonts w:ascii="標楷體" w:eastAsia="標楷體" w:hAnsi="標楷體" w:hint="eastAsia"/>
        </w:rPr>
        <w:t>期末專題</w:t>
      </w:r>
    </w:p>
    <w:p w14:paraId="2B6CFD08" w14:textId="77777777" w:rsidR="00420073" w:rsidRDefault="00420073" w:rsidP="00757BDD">
      <w:pPr>
        <w:pStyle w:val="a3"/>
        <w:rPr>
          <w:rFonts w:ascii="標楷體" w:eastAsia="標楷體" w:hAnsi="標楷體"/>
        </w:rPr>
      </w:pPr>
    </w:p>
    <w:p w14:paraId="57DD4CC1" w14:textId="77777777" w:rsidR="00420073" w:rsidRDefault="00420073" w:rsidP="00757BDD">
      <w:pPr>
        <w:pStyle w:val="a3"/>
        <w:rPr>
          <w:rFonts w:ascii="標楷體" w:eastAsia="標楷體" w:hAnsi="標楷體"/>
        </w:rPr>
      </w:pPr>
    </w:p>
    <w:p w14:paraId="41D418A5" w14:textId="77777777" w:rsidR="00420073" w:rsidRDefault="00420073" w:rsidP="00757BDD">
      <w:pPr>
        <w:pStyle w:val="a3"/>
        <w:rPr>
          <w:rFonts w:ascii="標楷體" w:eastAsia="標楷體" w:hAnsi="標楷體"/>
        </w:rPr>
      </w:pPr>
    </w:p>
    <w:p w14:paraId="382171FE" w14:textId="77777777" w:rsidR="00420073" w:rsidRDefault="00420073" w:rsidP="00757BDD">
      <w:pPr>
        <w:pStyle w:val="a3"/>
        <w:rPr>
          <w:rFonts w:ascii="標楷體" w:eastAsia="標楷體" w:hAnsi="標楷體"/>
        </w:rPr>
      </w:pPr>
    </w:p>
    <w:p w14:paraId="1E0C0463" w14:textId="77777777" w:rsidR="00420073" w:rsidRDefault="00420073" w:rsidP="00757BDD">
      <w:pPr>
        <w:pStyle w:val="a3"/>
        <w:rPr>
          <w:rFonts w:ascii="標楷體" w:eastAsia="標楷體" w:hAnsi="標楷體"/>
        </w:rPr>
      </w:pPr>
    </w:p>
    <w:p w14:paraId="002A8372" w14:textId="77777777" w:rsidR="00420073" w:rsidRDefault="00420073" w:rsidP="00757BDD">
      <w:pPr>
        <w:pStyle w:val="a3"/>
        <w:rPr>
          <w:rFonts w:ascii="標楷體" w:eastAsia="標楷體" w:hAnsi="標楷體"/>
        </w:rPr>
      </w:pPr>
    </w:p>
    <w:p w14:paraId="22E232D4" w14:textId="77777777" w:rsidR="00420073" w:rsidRDefault="00420073" w:rsidP="00757BDD">
      <w:pPr>
        <w:pStyle w:val="a3"/>
        <w:rPr>
          <w:rFonts w:ascii="標楷體" w:eastAsia="標楷體" w:hAnsi="標楷體"/>
        </w:rPr>
      </w:pPr>
    </w:p>
    <w:p w14:paraId="1527D647" w14:textId="77777777" w:rsidR="00246993" w:rsidRDefault="00D725D9" w:rsidP="00D725D9">
      <w:pPr>
        <w:jc w:val="center"/>
        <w:rPr>
          <w:sz w:val="40"/>
          <w:szCs w:val="40"/>
        </w:rPr>
      </w:pPr>
      <w:r w:rsidRPr="00A115FA">
        <w:rPr>
          <w:rFonts w:hint="eastAsia"/>
          <w:sz w:val="40"/>
          <w:szCs w:val="40"/>
        </w:rPr>
        <w:t>第</w:t>
      </w:r>
      <w:r w:rsidR="00A115FA" w:rsidRPr="00A115FA">
        <w:rPr>
          <w:rFonts w:hint="eastAsia"/>
          <w:sz w:val="40"/>
          <w:szCs w:val="40"/>
        </w:rPr>
        <w:t>8組</w:t>
      </w:r>
      <w:r w:rsidR="00246993">
        <w:rPr>
          <w:rFonts w:hint="eastAsia"/>
          <w:sz w:val="40"/>
          <w:szCs w:val="40"/>
        </w:rPr>
        <w:t>:</w:t>
      </w:r>
    </w:p>
    <w:p w14:paraId="09C755E7" w14:textId="77777777" w:rsidR="00774E9D" w:rsidRDefault="00774E9D" w:rsidP="00D725D9">
      <w:pPr>
        <w:jc w:val="center"/>
      </w:pPr>
      <w:r>
        <w:rPr>
          <w:rFonts w:hint="eastAsia"/>
        </w:rPr>
        <w:t>財金三112408540許允誠</w:t>
      </w:r>
    </w:p>
    <w:p w14:paraId="64900274" w14:textId="77777777" w:rsidR="00875450" w:rsidRDefault="00774E9D" w:rsidP="00D725D9">
      <w:pPr>
        <w:jc w:val="center"/>
      </w:pPr>
      <w:r>
        <w:rPr>
          <w:rFonts w:hint="eastAsia"/>
        </w:rPr>
        <w:t>財金三</w:t>
      </w:r>
      <w:r w:rsidR="00792764">
        <w:rPr>
          <w:rFonts w:hint="eastAsia"/>
        </w:rPr>
        <w:t>112408542</w:t>
      </w:r>
      <w:r w:rsidR="00875450">
        <w:rPr>
          <w:rFonts w:hint="eastAsia"/>
        </w:rPr>
        <w:t>鍾承佑</w:t>
      </w:r>
    </w:p>
    <w:p w14:paraId="37485CFD" w14:textId="3236EFDB" w:rsidR="0039285E" w:rsidRPr="00420073" w:rsidRDefault="75BCAC3E" w:rsidP="00D725D9">
      <w:pPr>
        <w:jc w:val="center"/>
      </w:pPr>
      <w:r>
        <w:t>財金三112408016鄭雨辰</w:t>
      </w:r>
      <w:r w:rsidR="00875450">
        <w:br w:type="page"/>
      </w:r>
    </w:p>
    <w:p w14:paraId="4E432D68" w14:textId="77777777" w:rsidR="00C86445" w:rsidRDefault="0039285E" w:rsidP="00C86445">
      <w:pPr>
        <w:pStyle w:val="1"/>
        <w:rPr>
          <w:noProof/>
        </w:rPr>
      </w:pPr>
      <w:bookmarkStart w:id="0" w:name="_Toc232078166"/>
      <w:r>
        <w:rPr>
          <w:rFonts w:hint="eastAsia"/>
        </w:rPr>
        <w:lastRenderedPageBreak/>
        <w:t>目錄</w:t>
      </w:r>
      <w:bookmarkEnd w:id="0"/>
      <w:r w:rsidR="00C86445">
        <w:fldChar w:fldCharType="begin"/>
      </w:r>
      <w:r w:rsidR="00C86445">
        <w:instrText xml:space="preserve"> TOC \o "1-2" \h \z \u </w:instrText>
      </w:r>
      <w:r w:rsidR="00C86445">
        <w:fldChar w:fldCharType="separate"/>
      </w:r>
    </w:p>
    <w:p w14:paraId="0231DC8E" w14:textId="3CE3869D" w:rsidR="00C86445" w:rsidRDefault="00C86445">
      <w:pPr>
        <w:pStyle w:val="11"/>
        <w:tabs>
          <w:tab w:val="right" w:leader="dot" w:pos="8296"/>
        </w:tabs>
        <w:rPr>
          <w:rFonts w:asciiTheme="minorHAnsi" w:eastAsiaTheme="minorEastAsia" w:hAnsiTheme="minorHAnsi"/>
          <w:noProof/>
        </w:rPr>
      </w:pPr>
      <w:hyperlink w:anchor="_Toc232078166" w:history="1">
        <w:r w:rsidRPr="00EA4FEF">
          <w:rPr>
            <w:rStyle w:val="af2"/>
            <w:noProof/>
          </w:rPr>
          <w:t>目錄</w:t>
        </w:r>
        <w:r>
          <w:rPr>
            <w:noProof/>
            <w:webHidden/>
          </w:rPr>
          <w:tab/>
        </w:r>
        <w:r>
          <w:rPr>
            <w:noProof/>
            <w:webHidden/>
          </w:rPr>
          <w:fldChar w:fldCharType="begin"/>
        </w:r>
        <w:r>
          <w:rPr>
            <w:noProof/>
            <w:webHidden/>
          </w:rPr>
          <w:instrText xml:space="preserve"> PAGEREF _Toc232078166 \h </w:instrText>
        </w:r>
        <w:r>
          <w:rPr>
            <w:noProof/>
            <w:webHidden/>
          </w:rPr>
        </w:r>
        <w:r>
          <w:rPr>
            <w:noProof/>
            <w:webHidden/>
          </w:rPr>
          <w:fldChar w:fldCharType="separate"/>
        </w:r>
        <w:r>
          <w:rPr>
            <w:noProof/>
            <w:webHidden/>
          </w:rPr>
          <w:t>1</w:t>
        </w:r>
        <w:r>
          <w:rPr>
            <w:noProof/>
            <w:webHidden/>
          </w:rPr>
          <w:fldChar w:fldCharType="end"/>
        </w:r>
      </w:hyperlink>
    </w:p>
    <w:p w14:paraId="4DE6EB08" w14:textId="2076B634" w:rsidR="00C86445" w:rsidRDefault="00C86445">
      <w:pPr>
        <w:pStyle w:val="11"/>
        <w:tabs>
          <w:tab w:val="right" w:leader="dot" w:pos="8296"/>
        </w:tabs>
        <w:rPr>
          <w:rFonts w:asciiTheme="minorHAnsi" w:eastAsiaTheme="minorEastAsia" w:hAnsiTheme="minorHAnsi"/>
          <w:noProof/>
        </w:rPr>
      </w:pPr>
      <w:hyperlink w:anchor="_Toc232078167" w:history="1">
        <w:r w:rsidRPr="00EA4FEF">
          <w:rPr>
            <w:rStyle w:val="af2"/>
            <w:noProof/>
          </w:rPr>
          <w:t>壹、研究動機</w:t>
        </w:r>
        <w:r>
          <w:rPr>
            <w:noProof/>
            <w:webHidden/>
          </w:rPr>
          <w:tab/>
        </w:r>
        <w:r>
          <w:rPr>
            <w:noProof/>
            <w:webHidden/>
          </w:rPr>
          <w:fldChar w:fldCharType="begin"/>
        </w:r>
        <w:r>
          <w:rPr>
            <w:noProof/>
            <w:webHidden/>
          </w:rPr>
          <w:instrText xml:space="preserve"> PAGEREF _Toc232078167 \h </w:instrText>
        </w:r>
        <w:r>
          <w:rPr>
            <w:noProof/>
            <w:webHidden/>
          </w:rPr>
        </w:r>
        <w:r>
          <w:rPr>
            <w:noProof/>
            <w:webHidden/>
          </w:rPr>
          <w:fldChar w:fldCharType="separate"/>
        </w:r>
        <w:r>
          <w:rPr>
            <w:noProof/>
            <w:webHidden/>
          </w:rPr>
          <w:t>2</w:t>
        </w:r>
        <w:r>
          <w:rPr>
            <w:noProof/>
            <w:webHidden/>
          </w:rPr>
          <w:fldChar w:fldCharType="end"/>
        </w:r>
      </w:hyperlink>
    </w:p>
    <w:p w14:paraId="2ED37BA2" w14:textId="6B6B6A6F" w:rsidR="00C86445" w:rsidRDefault="00C86445">
      <w:pPr>
        <w:pStyle w:val="21"/>
        <w:tabs>
          <w:tab w:val="right" w:leader="dot" w:pos="8296"/>
        </w:tabs>
        <w:rPr>
          <w:rFonts w:asciiTheme="minorHAnsi" w:eastAsiaTheme="minorEastAsia" w:hAnsiTheme="minorHAnsi"/>
          <w:noProof/>
        </w:rPr>
      </w:pPr>
      <w:hyperlink w:anchor="_Toc232078168" w:history="1">
        <w:r w:rsidRPr="00EA4FEF">
          <w:rPr>
            <w:rStyle w:val="af2"/>
            <w:noProof/>
          </w:rPr>
          <w:t>一、研究背景與動機</w:t>
        </w:r>
        <w:r>
          <w:rPr>
            <w:noProof/>
            <w:webHidden/>
          </w:rPr>
          <w:tab/>
        </w:r>
        <w:r>
          <w:rPr>
            <w:noProof/>
            <w:webHidden/>
          </w:rPr>
          <w:fldChar w:fldCharType="begin"/>
        </w:r>
        <w:r>
          <w:rPr>
            <w:noProof/>
            <w:webHidden/>
          </w:rPr>
          <w:instrText xml:space="preserve"> PAGEREF _Toc232078168 \h </w:instrText>
        </w:r>
        <w:r>
          <w:rPr>
            <w:noProof/>
            <w:webHidden/>
          </w:rPr>
        </w:r>
        <w:r>
          <w:rPr>
            <w:noProof/>
            <w:webHidden/>
          </w:rPr>
          <w:fldChar w:fldCharType="separate"/>
        </w:r>
        <w:r>
          <w:rPr>
            <w:noProof/>
            <w:webHidden/>
          </w:rPr>
          <w:t>2</w:t>
        </w:r>
        <w:r>
          <w:rPr>
            <w:noProof/>
            <w:webHidden/>
          </w:rPr>
          <w:fldChar w:fldCharType="end"/>
        </w:r>
      </w:hyperlink>
    </w:p>
    <w:p w14:paraId="023ACBA6" w14:textId="134FFA66" w:rsidR="00C86445" w:rsidRDefault="00C86445">
      <w:pPr>
        <w:pStyle w:val="21"/>
        <w:tabs>
          <w:tab w:val="right" w:leader="dot" w:pos="8296"/>
        </w:tabs>
        <w:rPr>
          <w:rFonts w:asciiTheme="minorHAnsi" w:eastAsiaTheme="minorEastAsia" w:hAnsiTheme="minorHAnsi"/>
          <w:noProof/>
        </w:rPr>
      </w:pPr>
      <w:hyperlink w:anchor="_Toc232078169" w:history="1">
        <w:r w:rsidRPr="00EA4FEF">
          <w:rPr>
            <w:rStyle w:val="af2"/>
            <w:noProof/>
          </w:rPr>
          <w:t>二、研究目的</w:t>
        </w:r>
        <w:r>
          <w:rPr>
            <w:noProof/>
            <w:webHidden/>
          </w:rPr>
          <w:tab/>
        </w:r>
        <w:r>
          <w:rPr>
            <w:noProof/>
            <w:webHidden/>
          </w:rPr>
          <w:fldChar w:fldCharType="begin"/>
        </w:r>
        <w:r>
          <w:rPr>
            <w:noProof/>
            <w:webHidden/>
          </w:rPr>
          <w:instrText xml:space="preserve"> PAGEREF _Toc232078169 \h </w:instrText>
        </w:r>
        <w:r>
          <w:rPr>
            <w:noProof/>
            <w:webHidden/>
          </w:rPr>
        </w:r>
        <w:r>
          <w:rPr>
            <w:noProof/>
            <w:webHidden/>
          </w:rPr>
          <w:fldChar w:fldCharType="separate"/>
        </w:r>
        <w:r>
          <w:rPr>
            <w:noProof/>
            <w:webHidden/>
          </w:rPr>
          <w:t>2</w:t>
        </w:r>
        <w:r>
          <w:rPr>
            <w:noProof/>
            <w:webHidden/>
          </w:rPr>
          <w:fldChar w:fldCharType="end"/>
        </w:r>
      </w:hyperlink>
    </w:p>
    <w:p w14:paraId="24A351F5" w14:textId="5997CBFB" w:rsidR="00C86445" w:rsidRDefault="00C86445">
      <w:pPr>
        <w:pStyle w:val="11"/>
        <w:tabs>
          <w:tab w:val="right" w:leader="dot" w:pos="8296"/>
        </w:tabs>
        <w:rPr>
          <w:rFonts w:asciiTheme="minorHAnsi" w:eastAsiaTheme="minorEastAsia" w:hAnsiTheme="minorHAnsi"/>
          <w:noProof/>
        </w:rPr>
      </w:pPr>
      <w:hyperlink w:anchor="_Toc232078170" w:history="1">
        <w:r w:rsidRPr="00EA4FEF">
          <w:rPr>
            <w:rStyle w:val="af2"/>
            <w:noProof/>
          </w:rPr>
          <w:t>貳、文獻回顧</w:t>
        </w:r>
        <w:r>
          <w:rPr>
            <w:noProof/>
            <w:webHidden/>
          </w:rPr>
          <w:tab/>
        </w:r>
        <w:r>
          <w:rPr>
            <w:noProof/>
            <w:webHidden/>
          </w:rPr>
          <w:fldChar w:fldCharType="begin"/>
        </w:r>
        <w:r>
          <w:rPr>
            <w:noProof/>
            <w:webHidden/>
          </w:rPr>
          <w:instrText xml:space="preserve"> PAGEREF _Toc232078170 \h </w:instrText>
        </w:r>
        <w:r>
          <w:rPr>
            <w:noProof/>
            <w:webHidden/>
          </w:rPr>
        </w:r>
        <w:r>
          <w:rPr>
            <w:noProof/>
            <w:webHidden/>
          </w:rPr>
          <w:fldChar w:fldCharType="separate"/>
        </w:r>
        <w:r>
          <w:rPr>
            <w:noProof/>
            <w:webHidden/>
          </w:rPr>
          <w:t>3</w:t>
        </w:r>
        <w:r>
          <w:rPr>
            <w:noProof/>
            <w:webHidden/>
          </w:rPr>
          <w:fldChar w:fldCharType="end"/>
        </w:r>
      </w:hyperlink>
    </w:p>
    <w:p w14:paraId="288BF5C1" w14:textId="5711E1C0" w:rsidR="00C86445" w:rsidRDefault="00C86445">
      <w:pPr>
        <w:pStyle w:val="21"/>
        <w:tabs>
          <w:tab w:val="right" w:leader="dot" w:pos="8296"/>
        </w:tabs>
        <w:rPr>
          <w:rFonts w:asciiTheme="minorHAnsi" w:eastAsiaTheme="minorEastAsia" w:hAnsiTheme="minorHAnsi"/>
          <w:noProof/>
        </w:rPr>
      </w:pPr>
      <w:hyperlink w:anchor="_Toc232078171" w:history="1">
        <w:r w:rsidRPr="00EA4FEF">
          <w:rPr>
            <w:rStyle w:val="af2"/>
            <w:noProof/>
          </w:rPr>
          <w:t>一、未拋補平價條件如何影響匯差交易之套利</w:t>
        </w:r>
        <w:r>
          <w:rPr>
            <w:noProof/>
            <w:webHidden/>
          </w:rPr>
          <w:tab/>
        </w:r>
        <w:r>
          <w:rPr>
            <w:noProof/>
            <w:webHidden/>
          </w:rPr>
          <w:fldChar w:fldCharType="begin"/>
        </w:r>
        <w:r>
          <w:rPr>
            <w:noProof/>
            <w:webHidden/>
          </w:rPr>
          <w:instrText xml:space="preserve"> PAGEREF _Toc232078171 \h </w:instrText>
        </w:r>
        <w:r>
          <w:rPr>
            <w:noProof/>
            <w:webHidden/>
          </w:rPr>
        </w:r>
        <w:r>
          <w:rPr>
            <w:noProof/>
            <w:webHidden/>
          </w:rPr>
          <w:fldChar w:fldCharType="separate"/>
        </w:r>
        <w:r>
          <w:rPr>
            <w:noProof/>
            <w:webHidden/>
          </w:rPr>
          <w:t>3</w:t>
        </w:r>
        <w:r>
          <w:rPr>
            <w:noProof/>
            <w:webHidden/>
          </w:rPr>
          <w:fldChar w:fldCharType="end"/>
        </w:r>
      </w:hyperlink>
    </w:p>
    <w:p w14:paraId="1C5FBE1D" w14:textId="15452711" w:rsidR="00C86445" w:rsidRDefault="00C86445">
      <w:pPr>
        <w:pStyle w:val="21"/>
        <w:tabs>
          <w:tab w:val="right" w:leader="dot" w:pos="8296"/>
        </w:tabs>
        <w:rPr>
          <w:rFonts w:asciiTheme="minorHAnsi" w:eastAsiaTheme="minorEastAsia" w:hAnsiTheme="minorHAnsi"/>
          <w:noProof/>
        </w:rPr>
      </w:pPr>
      <w:hyperlink w:anchor="_Toc232078172" w:history="1">
        <w:r w:rsidRPr="00EA4FEF">
          <w:rPr>
            <w:rStyle w:val="af2"/>
            <w:noProof/>
          </w:rPr>
          <w:t>二、自學術期刊之論文研究看外匯交易實務</w:t>
        </w:r>
        <w:r>
          <w:rPr>
            <w:noProof/>
            <w:webHidden/>
          </w:rPr>
          <w:tab/>
        </w:r>
        <w:r>
          <w:rPr>
            <w:noProof/>
            <w:webHidden/>
          </w:rPr>
          <w:fldChar w:fldCharType="begin"/>
        </w:r>
        <w:r>
          <w:rPr>
            <w:noProof/>
            <w:webHidden/>
          </w:rPr>
          <w:instrText xml:space="preserve"> PAGEREF _Toc232078172 \h </w:instrText>
        </w:r>
        <w:r>
          <w:rPr>
            <w:noProof/>
            <w:webHidden/>
          </w:rPr>
        </w:r>
        <w:r>
          <w:rPr>
            <w:noProof/>
            <w:webHidden/>
          </w:rPr>
          <w:fldChar w:fldCharType="separate"/>
        </w:r>
        <w:r>
          <w:rPr>
            <w:noProof/>
            <w:webHidden/>
          </w:rPr>
          <w:t>3</w:t>
        </w:r>
        <w:r>
          <w:rPr>
            <w:noProof/>
            <w:webHidden/>
          </w:rPr>
          <w:fldChar w:fldCharType="end"/>
        </w:r>
      </w:hyperlink>
    </w:p>
    <w:p w14:paraId="200D1F93" w14:textId="0D93552C" w:rsidR="00C86445" w:rsidRDefault="00C86445">
      <w:pPr>
        <w:pStyle w:val="11"/>
        <w:tabs>
          <w:tab w:val="right" w:leader="dot" w:pos="8296"/>
        </w:tabs>
        <w:rPr>
          <w:rFonts w:asciiTheme="minorHAnsi" w:eastAsiaTheme="minorEastAsia" w:hAnsiTheme="minorHAnsi"/>
          <w:noProof/>
        </w:rPr>
      </w:pPr>
      <w:hyperlink w:anchor="_Toc232078173" w:history="1">
        <w:r w:rsidRPr="00EA4FEF">
          <w:rPr>
            <w:rStyle w:val="af2"/>
            <w:noProof/>
          </w:rPr>
          <w:t>參、研究方法</w:t>
        </w:r>
        <w:r>
          <w:rPr>
            <w:noProof/>
            <w:webHidden/>
          </w:rPr>
          <w:tab/>
        </w:r>
        <w:r>
          <w:rPr>
            <w:noProof/>
            <w:webHidden/>
          </w:rPr>
          <w:fldChar w:fldCharType="begin"/>
        </w:r>
        <w:r>
          <w:rPr>
            <w:noProof/>
            <w:webHidden/>
          </w:rPr>
          <w:instrText xml:space="preserve"> PAGEREF _Toc232078173 \h </w:instrText>
        </w:r>
        <w:r>
          <w:rPr>
            <w:noProof/>
            <w:webHidden/>
          </w:rPr>
        </w:r>
        <w:r>
          <w:rPr>
            <w:noProof/>
            <w:webHidden/>
          </w:rPr>
          <w:fldChar w:fldCharType="separate"/>
        </w:r>
        <w:r>
          <w:rPr>
            <w:noProof/>
            <w:webHidden/>
          </w:rPr>
          <w:t>6</w:t>
        </w:r>
        <w:r>
          <w:rPr>
            <w:noProof/>
            <w:webHidden/>
          </w:rPr>
          <w:fldChar w:fldCharType="end"/>
        </w:r>
      </w:hyperlink>
    </w:p>
    <w:p w14:paraId="3281175B" w14:textId="25EB50F9" w:rsidR="00C86445" w:rsidRDefault="00C86445">
      <w:pPr>
        <w:pStyle w:val="21"/>
        <w:tabs>
          <w:tab w:val="right" w:leader="dot" w:pos="8296"/>
        </w:tabs>
        <w:rPr>
          <w:rFonts w:asciiTheme="minorHAnsi" w:eastAsiaTheme="minorEastAsia" w:hAnsiTheme="minorHAnsi"/>
          <w:noProof/>
        </w:rPr>
      </w:pPr>
      <w:hyperlink w:anchor="_Toc232078174" w:history="1">
        <w:r w:rsidRPr="00EA4FEF">
          <w:rPr>
            <w:rStyle w:val="af2"/>
            <w:noProof/>
          </w:rPr>
          <w:t>一、單因子回歸模型建構</w:t>
        </w:r>
        <w:r>
          <w:rPr>
            <w:noProof/>
            <w:webHidden/>
          </w:rPr>
          <w:tab/>
        </w:r>
        <w:r>
          <w:rPr>
            <w:noProof/>
            <w:webHidden/>
          </w:rPr>
          <w:fldChar w:fldCharType="begin"/>
        </w:r>
        <w:r>
          <w:rPr>
            <w:noProof/>
            <w:webHidden/>
          </w:rPr>
          <w:instrText xml:space="preserve"> PAGEREF _Toc232078174 \h </w:instrText>
        </w:r>
        <w:r>
          <w:rPr>
            <w:noProof/>
            <w:webHidden/>
          </w:rPr>
        </w:r>
        <w:r>
          <w:rPr>
            <w:noProof/>
            <w:webHidden/>
          </w:rPr>
          <w:fldChar w:fldCharType="separate"/>
        </w:r>
        <w:r>
          <w:rPr>
            <w:noProof/>
            <w:webHidden/>
          </w:rPr>
          <w:t>6</w:t>
        </w:r>
        <w:r>
          <w:rPr>
            <w:noProof/>
            <w:webHidden/>
          </w:rPr>
          <w:fldChar w:fldCharType="end"/>
        </w:r>
      </w:hyperlink>
    </w:p>
    <w:p w14:paraId="1D69C671" w14:textId="1E25C9DF" w:rsidR="00C86445" w:rsidRDefault="00C86445">
      <w:pPr>
        <w:pStyle w:val="21"/>
        <w:tabs>
          <w:tab w:val="right" w:leader="dot" w:pos="8296"/>
        </w:tabs>
        <w:rPr>
          <w:rFonts w:asciiTheme="minorHAnsi" w:eastAsiaTheme="minorEastAsia" w:hAnsiTheme="minorHAnsi"/>
          <w:noProof/>
        </w:rPr>
      </w:pPr>
      <w:hyperlink w:anchor="_Toc232078175" w:history="1">
        <w:r w:rsidRPr="00EA4FEF">
          <w:rPr>
            <w:rStyle w:val="af2"/>
            <w:noProof/>
          </w:rPr>
          <w:t>二、資料範圍為與預期結果</w:t>
        </w:r>
        <w:r>
          <w:rPr>
            <w:noProof/>
            <w:webHidden/>
          </w:rPr>
          <w:tab/>
        </w:r>
        <w:r>
          <w:rPr>
            <w:noProof/>
            <w:webHidden/>
          </w:rPr>
          <w:fldChar w:fldCharType="begin"/>
        </w:r>
        <w:r>
          <w:rPr>
            <w:noProof/>
            <w:webHidden/>
          </w:rPr>
          <w:instrText xml:space="preserve"> PAGEREF _Toc232078175 \h </w:instrText>
        </w:r>
        <w:r>
          <w:rPr>
            <w:noProof/>
            <w:webHidden/>
          </w:rPr>
        </w:r>
        <w:r>
          <w:rPr>
            <w:noProof/>
            <w:webHidden/>
          </w:rPr>
          <w:fldChar w:fldCharType="separate"/>
        </w:r>
        <w:r>
          <w:rPr>
            <w:noProof/>
            <w:webHidden/>
          </w:rPr>
          <w:t>6</w:t>
        </w:r>
        <w:r>
          <w:rPr>
            <w:noProof/>
            <w:webHidden/>
          </w:rPr>
          <w:fldChar w:fldCharType="end"/>
        </w:r>
      </w:hyperlink>
    </w:p>
    <w:p w14:paraId="7DEEA25B" w14:textId="5C2D7B07" w:rsidR="00C86445" w:rsidRDefault="00C86445">
      <w:pPr>
        <w:pStyle w:val="11"/>
        <w:tabs>
          <w:tab w:val="right" w:leader="dot" w:pos="8296"/>
        </w:tabs>
        <w:rPr>
          <w:rFonts w:asciiTheme="minorHAnsi" w:eastAsiaTheme="minorEastAsia" w:hAnsiTheme="minorHAnsi"/>
          <w:noProof/>
        </w:rPr>
      </w:pPr>
      <w:hyperlink w:anchor="_Toc232078176" w:history="1">
        <w:r w:rsidRPr="00EA4FEF">
          <w:rPr>
            <w:rStyle w:val="af2"/>
            <w:noProof/>
          </w:rPr>
          <w:t>肆、實證分析</w:t>
        </w:r>
        <w:r>
          <w:rPr>
            <w:noProof/>
            <w:webHidden/>
          </w:rPr>
          <w:tab/>
        </w:r>
        <w:r>
          <w:rPr>
            <w:noProof/>
            <w:webHidden/>
          </w:rPr>
          <w:fldChar w:fldCharType="begin"/>
        </w:r>
        <w:r>
          <w:rPr>
            <w:noProof/>
            <w:webHidden/>
          </w:rPr>
          <w:instrText xml:space="preserve"> PAGEREF _Toc232078176 \h </w:instrText>
        </w:r>
        <w:r>
          <w:rPr>
            <w:noProof/>
            <w:webHidden/>
          </w:rPr>
        </w:r>
        <w:r>
          <w:rPr>
            <w:noProof/>
            <w:webHidden/>
          </w:rPr>
          <w:fldChar w:fldCharType="separate"/>
        </w:r>
        <w:r>
          <w:rPr>
            <w:noProof/>
            <w:webHidden/>
          </w:rPr>
          <w:t>8</w:t>
        </w:r>
        <w:r>
          <w:rPr>
            <w:noProof/>
            <w:webHidden/>
          </w:rPr>
          <w:fldChar w:fldCharType="end"/>
        </w:r>
      </w:hyperlink>
    </w:p>
    <w:p w14:paraId="46D77DEF" w14:textId="3A82833C" w:rsidR="00C86445" w:rsidRDefault="00C86445">
      <w:pPr>
        <w:pStyle w:val="11"/>
        <w:tabs>
          <w:tab w:val="right" w:leader="dot" w:pos="8296"/>
        </w:tabs>
        <w:rPr>
          <w:rFonts w:asciiTheme="minorHAnsi" w:eastAsiaTheme="minorEastAsia" w:hAnsiTheme="minorHAnsi"/>
          <w:noProof/>
        </w:rPr>
      </w:pPr>
      <w:hyperlink w:anchor="_Toc232078177" w:history="1">
        <w:r w:rsidRPr="00EA4FEF">
          <w:rPr>
            <w:rStyle w:val="af2"/>
            <w:noProof/>
          </w:rPr>
          <w:t>伍、結論</w:t>
        </w:r>
        <w:r>
          <w:rPr>
            <w:noProof/>
            <w:webHidden/>
          </w:rPr>
          <w:tab/>
        </w:r>
        <w:r>
          <w:rPr>
            <w:noProof/>
            <w:webHidden/>
          </w:rPr>
          <w:fldChar w:fldCharType="begin"/>
        </w:r>
        <w:r>
          <w:rPr>
            <w:noProof/>
            <w:webHidden/>
          </w:rPr>
          <w:instrText xml:space="preserve"> PAGEREF _Toc232078177 \h </w:instrText>
        </w:r>
        <w:r>
          <w:rPr>
            <w:noProof/>
            <w:webHidden/>
          </w:rPr>
        </w:r>
        <w:r>
          <w:rPr>
            <w:noProof/>
            <w:webHidden/>
          </w:rPr>
          <w:fldChar w:fldCharType="separate"/>
        </w:r>
        <w:r>
          <w:rPr>
            <w:noProof/>
            <w:webHidden/>
          </w:rPr>
          <w:t>10</w:t>
        </w:r>
        <w:r>
          <w:rPr>
            <w:noProof/>
            <w:webHidden/>
          </w:rPr>
          <w:fldChar w:fldCharType="end"/>
        </w:r>
      </w:hyperlink>
    </w:p>
    <w:p w14:paraId="540723D9" w14:textId="395EE72E" w:rsidR="00C86445" w:rsidRDefault="00C86445">
      <w:pPr>
        <w:pStyle w:val="11"/>
        <w:tabs>
          <w:tab w:val="right" w:leader="dot" w:pos="8296"/>
        </w:tabs>
        <w:rPr>
          <w:rFonts w:asciiTheme="minorHAnsi" w:eastAsiaTheme="minorEastAsia" w:hAnsiTheme="minorHAnsi"/>
          <w:noProof/>
        </w:rPr>
      </w:pPr>
      <w:hyperlink w:anchor="_Toc232078178" w:history="1">
        <w:r w:rsidRPr="00EA4FEF">
          <w:rPr>
            <w:rStyle w:val="af2"/>
            <w:noProof/>
          </w:rPr>
          <w:t>陸、參考資料</w:t>
        </w:r>
        <w:r>
          <w:rPr>
            <w:noProof/>
            <w:webHidden/>
          </w:rPr>
          <w:tab/>
        </w:r>
        <w:r>
          <w:rPr>
            <w:noProof/>
            <w:webHidden/>
          </w:rPr>
          <w:fldChar w:fldCharType="begin"/>
        </w:r>
        <w:r>
          <w:rPr>
            <w:noProof/>
            <w:webHidden/>
          </w:rPr>
          <w:instrText xml:space="preserve"> PAGEREF _Toc232078178 \h </w:instrText>
        </w:r>
        <w:r>
          <w:rPr>
            <w:noProof/>
            <w:webHidden/>
          </w:rPr>
        </w:r>
        <w:r>
          <w:rPr>
            <w:noProof/>
            <w:webHidden/>
          </w:rPr>
          <w:fldChar w:fldCharType="separate"/>
        </w:r>
        <w:r>
          <w:rPr>
            <w:noProof/>
            <w:webHidden/>
          </w:rPr>
          <w:t>12</w:t>
        </w:r>
        <w:r>
          <w:rPr>
            <w:noProof/>
            <w:webHidden/>
          </w:rPr>
          <w:fldChar w:fldCharType="end"/>
        </w:r>
      </w:hyperlink>
    </w:p>
    <w:p w14:paraId="30F7167F" w14:textId="5245F247" w:rsidR="00C86445" w:rsidRDefault="00C86445">
      <w:pPr>
        <w:pStyle w:val="21"/>
        <w:tabs>
          <w:tab w:val="right" w:leader="dot" w:pos="8296"/>
        </w:tabs>
        <w:rPr>
          <w:rFonts w:asciiTheme="minorHAnsi" w:eastAsiaTheme="minorEastAsia" w:hAnsiTheme="minorHAnsi"/>
          <w:noProof/>
        </w:rPr>
      </w:pPr>
      <w:hyperlink w:anchor="_Toc232078179" w:history="1">
        <w:r w:rsidRPr="00EA4FEF">
          <w:rPr>
            <w:rStyle w:val="af2"/>
            <w:noProof/>
          </w:rPr>
          <w:t>一、 中文文獻</w:t>
        </w:r>
        <w:r>
          <w:rPr>
            <w:noProof/>
            <w:webHidden/>
          </w:rPr>
          <w:tab/>
        </w:r>
        <w:r>
          <w:rPr>
            <w:noProof/>
            <w:webHidden/>
          </w:rPr>
          <w:fldChar w:fldCharType="begin"/>
        </w:r>
        <w:r>
          <w:rPr>
            <w:noProof/>
            <w:webHidden/>
          </w:rPr>
          <w:instrText xml:space="preserve"> PAGEREF _Toc232078179 \h </w:instrText>
        </w:r>
        <w:r>
          <w:rPr>
            <w:noProof/>
            <w:webHidden/>
          </w:rPr>
        </w:r>
        <w:r>
          <w:rPr>
            <w:noProof/>
            <w:webHidden/>
          </w:rPr>
          <w:fldChar w:fldCharType="separate"/>
        </w:r>
        <w:r>
          <w:rPr>
            <w:noProof/>
            <w:webHidden/>
          </w:rPr>
          <w:t>12</w:t>
        </w:r>
        <w:r>
          <w:rPr>
            <w:noProof/>
            <w:webHidden/>
          </w:rPr>
          <w:fldChar w:fldCharType="end"/>
        </w:r>
      </w:hyperlink>
    </w:p>
    <w:p w14:paraId="1226D7BD" w14:textId="3940C9FE" w:rsidR="00C86445" w:rsidRDefault="00C86445">
      <w:pPr>
        <w:pStyle w:val="21"/>
        <w:tabs>
          <w:tab w:val="right" w:leader="dot" w:pos="8296"/>
        </w:tabs>
        <w:rPr>
          <w:rFonts w:asciiTheme="minorHAnsi" w:eastAsiaTheme="minorEastAsia" w:hAnsiTheme="minorHAnsi"/>
          <w:noProof/>
        </w:rPr>
      </w:pPr>
      <w:hyperlink w:anchor="_Toc232078180" w:history="1">
        <w:r w:rsidRPr="00EA4FEF">
          <w:rPr>
            <w:rStyle w:val="af2"/>
            <w:noProof/>
          </w:rPr>
          <w:t>二、 英文文獻</w:t>
        </w:r>
        <w:r>
          <w:rPr>
            <w:noProof/>
            <w:webHidden/>
          </w:rPr>
          <w:tab/>
        </w:r>
        <w:r>
          <w:rPr>
            <w:noProof/>
            <w:webHidden/>
          </w:rPr>
          <w:fldChar w:fldCharType="begin"/>
        </w:r>
        <w:r>
          <w:rPr>
            <w:noProof/>
            <w:webHidden/>
          </w:rPr>
          <w:instrText xml:space="preserve"> PAGEREF _Toc232078180 \h </w:instrText>
        </w:r>
        <w:r>
          <w:rPr>
            <w:noProof/>
            <w:webHidden/>
          </w:rPr>
        </w:r>
        <w:r>
          <w:rPr>
            <w:noProof/>
            <w:webHidden/>
          </w:rPr>
          <w:fldChar w:fldCharType="separate"/>
        </w:r>
        <w:r>
          <w:rPr>
            <w:noProof/>
            <w:webHidden/>
          </w:rPr>
          <w:t>12</w:t>
        </w:r>
        <w:r>
          <w:rPr>
            <w:noProof/>
            <w:webHidden/>
          </w:rPr>
          <w:fldChar w:fldCharType="end"/>
        </w:r>
      </w:hyperlink>
    </w:p>
    <w:p w14:paraId="4CE6133F" w14:textId="610314D6" w:rsidR="00310C8B" w:rsidRDefault="00C86445" w:rsidP="00C86445">
      <w:pPr>
        <w:pStyle w:val="1"/>
      </w:pPr>
      <w:r>
        <w:fldChar w:fldCharType="end"/>
      </w:r>
    </w:p>
    <w:p w14:paraId="0EE62D20" w14:textId="77777777" w:rsidR="00310C8B" w:rsidRDefault="00310C8B">
      <w:pPr>
        <w:spacing w:before="240" w:after="240" w:line="276" w:lineRule="auto"/>
        <w:contextualSpacing w:val="0"/>
      </w:pPr>
      <w:r>
        <w:br w:type="page"/>
      </w:r>
    </w:p>
    <w:p w14:paraId="1DDF737F" w14:textId="4F912C10" w:rsidR="00296AF4" w:rsidRPr="00BF49BD" w:rsidRDefault="00FA0ECD" w:rsidP="00912F93">
      <w:pPr>
        <w:pStyle w:val="1"/>
      </w:pPr>
      <w:bookmarkStart w:id="1" w:name="_Toc232078167"/>
      <w:r w:rsidRPr="00BF49BD">
        <w:lastRenderedPageBreak/>
        <w:t>壹、研究動機</w:t>
      </w:r>
      <w:bookmarkEnd w:id="1"/>
    </w:p>
    <w:p w14:paraId="0FDD9942" w14:textId="7498A791" w:rsidR="00622888" w:rsidRPr="00A73004" w:rsidRDefault="00622888" w:rsidP="00912F93">
      <w:pPr>
        <w:pStyle w:val="2"/>
      </w:pPr>
      <w:bookmarkStart w:id="2" w:name="_Toc232078168"/>
      <w:r w:rsidRPr="00A73004">
        <w:t>一、研究背景與動機</w:t>
      </w:r>
      <w:bookmarkEnd w:id="2"/>
    </w:p>
    <w:p w14:paraId="231488FC" w14:textId="03D6CC7C" w:rsidR="00EF77ED" w:rsidRDefault="00E8228B" w:rsidP="00912F93">
      <w:pPr>
        <w:ind w:firstLineChars="200" w:firstLine="480"/>
      </w:pPr>
      <w:r w:rsidRPr="00E8228B">
        <w:t>國際財務管理</w:t>
      </w:r>
      <w:r>
        <w:rPr>
          <w:rFonts w:hint="eastAsia"/>
        </w:rPr>
        <w:t>課堂</w:t>
      </w:r>
      <w:r w:rsidR="00A209DF">
        <w:rPr>
          <w:rFonts w:hint="eastAsia"/>
        </w:rPr>
        <w:t>上</w:t>
      </w:r>
      <w:r w:rsidRPr="00E8228B">
        <w:t>，</w:t>
      </w:r>
      <w:r w:rsidR="00A209DF">
        <w:rPr>
          <w:rFonts w:hint="eastAsia"/>
        </w:rPr>
        <w:t>本組</w:t>
      </w:r>
      <w:r w:rsidR="00634464">
        <w:rPr>
          <w:rFonts w:hint="eastAsia"/>
        </w:rPr>
        <w:t>發現</w:t>
      </w:r>
      <w:r w:rsidRPr="00E8228B">
        <w:t>未拋補利率平價條件（UIP）認為兩國之間的利差應會被套利與預期匯率變動弭平，因此不存在長期的套利空間。而現實中UIP長期屬於失效</w:t>
      </w:r>
      <w:r w:rsidRPr="00912F93">
        <w:t>的狀態，這也催生出了投資人的利差交易，例如借入日圓（低息貨幣）後再投資於澳幣（高息貨幣）賺取利益</w:t>
      </w:r>
      <w:r w:rsidR="004634CD" w:rsidRPr="00912F93">
        <w:t>，因此也想進一步了解</w:t>
      </w:r>
      <w:r w:rsidR="004D0231" w:rsidRPr="00912F93">
        <w:t>外匯</w:t>
      </w:r>
      <w:r w:rsidR="004634CD" w:rsidRPr="00912F93">
        <w:t>市場上</w:t>
      </w:r>
      <w:r w:rsidR="004D0231" w:rsidRPr="00912F93">
        <w:t>的交易實務與貨幣流動應主題</w:t>
      </w:r>
      <w:r w:rsidR="00192580" w:rsidRPr="00912F93">
        <w:t>B</w:t>
      </w:r>
      <w:r w:rsidR="00EF77ED" w:rsidRPr="00912F93">
        <w:t>跨國投資與</w:t>
      </w:r>
      <w:r w:rsidR="00EF77ED" w:rsidRPr="00EF77ED">
        <w:t>資本流動</w:t>
      </w:r>
    </w:p>
    <w:p w14:paraId="66EEB4A9" w14:textId="070548CC" w:rsidR="00B52170" w:rsidRDefault="001F209A" w:rsidP="00912F93">
      <w:pPr>
        <w:pStyle w:val="2"/>
      </w:pPr>
      <w:bookmarkStart w:id="3" w:name="_Toc232078169"/>
      <w:r>
        <w:rPr>
          <w:rFonts w:hint="eastAsia"/>
        </w:rPr>
        <w:t>二、研究目的</w:t>
      </w:r>
      <w:bookmarkEnd w:id="3"/>
    </w:p>
    <w:p w14:paraId="08CE3501" w14:textId="340E1D72" w:rsidR="001F209A" w:rsidRPr="001F209A" w:rsidRDefault="001F209A" w:rsidP="00912F93">
      <w:pPr>
        <w:ind w:firstLineChars="200" w:firstLine="480"/>
      </w:pPr>
      <w:r w:rsidRPr="001F209A">
        <w:t>本</w:t>
      </w:r>
      <w:r>
        <w:rPr>
          <w:rFonts w:hint="eastAsia"/>
        </w:rPr>
        <w:t>組</w:t>
      </w:r>
      <w:r w:rsidRPr="001F209A">
        <w:t>的研究目的在於探討UIP在近幾年極端經濟情境下的失效與理解市場資金的流動方向。透過大數據與單因子回歸模型，檢驗代表市場恐慌與投資人情緒的的VIX指數和澳幣、日幣與美元之間的關聯性。</w:t>
      </w:r>
    </w:p>
    <w:p w14:paraId="05EDB688" w14:textId="38CED49A" w:rsidR="00E8228B" w:rsidRPr="004D0231" w:rsidRDefault="00E8228B" w:rsidP="00912F93">
      <w:pPr>
        <w:ind w:firstLineChars="200" w:firstLine="480"/>
      </w:pPr>
    </w:p>
    <w:p w14:paraId="74551417" w14:textId="1C8C5FAE" w:rsidR="001F209A" w:rsidRDefault="001F209A" w:rsidP="00912F93">
      <w:pPr>
        <w:ind w:firstLineChars="200" w:firstLine="480"/>
      </w:pPr>
      <w:r>
        <w:br w:type="page"/>
      </w:r>
    </w:p>
    <w:p w14:paraId="503F51B4" w14:textId="1216FF7D" w:rsidR="00622888" w:rsidRDefault="003978CD" w:rsidP="00912F93">
      <w:pPr>
        <w:pStyle w:val="1"/>
      </w:pPr>
      <w:bookmarkStart w:id="4" w:name="_Toc232078170"/>
      <w:r>
        <w:rPr>
          <w:rFonts w:hint="eastAsia"/>
        </w:rPr>
        <w:lastRenderedPageBreak/>
        <w:t>貳、文獻回顧</w:t>
      </w:r>
      <w:bookmarkEnd w:id="4"/>
    </w:p>
    <w:p w14:paraId="12D3F9E3" w14:textId="707B80EB" w:rsidR="003978CD" w:rsidRDefault="003978CD" w:rsidP="00912F93">
      <w:pPr>
        <w:pStyle w:val="2"/>
      </w:pPr>
      <w:bookmarkStart w:id="5" w:name="_Toc232078171"/>
      <w:r>
        <w:rPr>
          <w:rFonts w:hint="eastAsia"/>
        </w:rPr>
        <w:t>一、</w:t>
      </w:r>
      <w:r w:rsidR="00664BBC" w:rsidRPr="00664BBC">
        <w:t>未拋補平價條件如何影響匯差交易之套利</w:t>
      </w:r>
      <w:bookmarkEnd w:id="5"/>
    </w:p>
    <w:p w14:paraId="40CD7AF8" w14:textId="77777777" w:rsidR="006A36F5" w:rsidRPr="006A36F5" w:rsidRDefault="006A36F5" w:rsidP="00912F93">
      <w:pPr>
        <w:ind w:firstLineChars="200" w:firstLine="480"/>
      </w:pPr>
      <w:r w:rsidRPr="006A36F5">
        <w:t>本次期末報告的內容，發想仍是源於上課內容針對《國際財務管理概論第六版》（黃志典，2022）第五單元與第六單元「國際平價條件與匯率預測」做延伸閱讀學習與探究。 第五單元國際財經辭典——「利差交易：高利率貨幣投資陷阱」，內容提及利差交易中獲利條件就是「未拋補的利率平價條件，UIP」不成立的狀況才能套利 ，也就是針對公式中的投資人預期遠期匯率與現在的利率背景與匯率條件不相同所導致。因此，本研究參考目前最新的相關著作與期刊論文，想要理解目前市場上真正操作匯率交易的狀況與實際貨幣流動。</w:t>
      </w:r>
    </w:p>
    <w:p w14:paraId="25F3485F" w14:textId="609A7B8C" w:rsidR="006A36F5" w:rsidRDefault="006A36F5" w:rsidP="00912F93">
      <w:pPr>
        <w:ind w:firstLineChars="200" w:firstLine="480"/>
      </w:pPr>
      <w:r w:rsidRPr="006A36F5">
        <w:t>參考學校資料庫與網路資源查找後，我們選擇由 Opale Guyot、Heather A. Montgomery 與 Peiqing Yang 於 2026 年發表的 [1]《Risk Premiums, Market Volatility, and Exchange Rate Dynamics: Evidence from the Yen Carry Trade》 作為本次報告的主要核心與研究學習的論文，這篇論文是針對低息避險資產日圓之貨幣流動與對應之總經與國際政策做研究，同時發布後不久還有近年最大的日元貶值事件引發日圓流動性問題，也對應了論文期中的觀點。但最吸引我們的地方，在於它不是只談抽象的總體經濟指標，而是直接抓取外匯市場實務上的「利差交易（Carry Trade）」資金流，並利用大數據與多變量模型，去檢驗教科書所說的 UIP 失效在現實中到底是怎麼被觸發的。這正好能幫我們解答：當投資人的預期跟現實利率背景出現落差時，市場資金實際上流向</w:t>
      </w:r>
      <w:r>
        <w:rPr>
          <w:rFonts w:hint="eastAsia"/>
        </w:rPr>
        <w:t>。</w:t>
      </w:r>
    </w:p>
    <w:p w14:paraId="2C16813F" w14:textId="1FB8CB00" w:rsidR="006A36F5" w:rsidRPr="006A36F5" w:rsidRDefault="006A36F5" w:rsidP="00912F93">
      <w:pPr>
        <w:pStyle w:val="2"/>
      </w:pPr>
      <w:bookmarkStart w:id="6" w:name="_Toc232078172"/>
      <w:r>
        <w:rPr>
          <w:rFonts w:hint="eastAsia"/>
        </w:rPr>
        <w:t>二、</w:t>
      </w:r>
      <w:r w:rsidR="00C66D49">
        <w:rPr>
          <w:rFonts w:hint="eastAsia"/>
        </w:rPr>
        <w:t>自學術期刊之</w:t>
      </w:r>
      <w:r w:rsidR="00222E11">
        <w:rPr>
          <w:rFonts w:hint="eastAsia"/>
        </w:rPr>
        <w:t>論文研究</w:t>
      </w:r>
      <w:r w:rsidR="00C66D49">
        <w:rPr>
          <w:rFonts w:hint="eastAsia"/>
        </w:rPr>
        <w:t>看外匯交易實務</w:t>
      </w:r>
      <w:bookmarkEnd w:id="6"/>
    </w:p>
    <w:p w14:paraId="44A31A2B" w14:textId="77777777" w:rsidR="00183F35" w:rsidRPr="00183F35" w:rsidRDefault="00183F35" w:rsidP="00912F93">
      <w:pPr>
        <w:ind w:firstLineChars="200" w:firstLine="480"/>
      </w:pPr>
      <w:r w:rsidRPr="00183F35">
        <w:t>在傳統國際金融理論中，UIP 假說認為，兩國之間的利率差距應該要完全被預期的匯率變動率所抵銷。意即，高利率貨幣在未來應面臨等幅的貶值，使</w:t>
      </w:r>
      <w:r w:rsidRPr="00183F35">
        <w:lastRenderedPageBreak/>
        <w:t>得跨國投資的預期報酬率趨於一致，市場不存在超額套利空間[2]（Fama, 1984）。</w:t>
      </w:r>
    </w:p>
    <w:p w14:paraId="402FCFD1" w14:textId="77777777" w:rsidR="00183F35" w:rsidRPr="00183F35" w:rsidRDefault="00183F35" w:rsidP="00912F93">
      <w:pPr>
        <w:ind w:firstLineChars="200" w:firstLine="480"/>
      </w:pPr>
      <w:r w:rsidRPr="00183F35">
        <w:t> 根據[1]在論文中整理的資料與其文獻回顧，現實中的外匯套利並不是長期穩賺不賠的並且匯差部會隨時間慢慢向穩定匯率靠攏。[1]論文指出UIP之所以長期失效是因為漏了時間變動風險溢酬（Time-Varying Risk Premium）」這個變數，也就是少考慮的外匯市場自身之流動性與市場恐慌情緒造成的預期心理。</w:t>
      </w:r>
    </w:p>
    <w:p w14:paraId="054469DC" w14:textId="77777777" w:rsidR="00183F35" w:rsidRPr="00183F35" w:rsidRDefault="00183F35" w:rsidP="00912F93">
      <w:pPr>
        <w:ind w:firstLineChars="200" w:firstLine="480"/>
      </w:pPr>
      <w:r w:rsidRPr="00183F35">
        <w:t>而以下兩點是目前外匯市場[1]中整理之兩大特徵:</w:t>
      </w:r>
    </w:p>
    <w:p w14:paraId="07464CEF" w14:textId="77777777" w:rsidR="001B1723" w:rsidRPr="001B6535" w:rsidRDefault="00183F35" w:rsidP="00912F93">
      <w:pPr>
        <w:pStyle w:val="3"/>
      </w:pPr>
      <w:r w:rsidRPr="001B6535">
        <w:t>(一)市場恐慌的非理性平倉:</w:t>
      </w:r>
    </w:p>
    <w:p w14:paraId="2C9DC3BC" w14:textId="4039DFAA" w:rsidR="00183F35" w:rsidRPr="00183F35" w:rsidRDefault="00183F35" w:rsidP="00912F93">
      <w:pPr>
        <w:ind w:firstLineChars="200" w:firstLine="480"/>
      </w:pPr>
      <w:r w:rsidRPr="00183F35">
        <w:t>[1]引用[3] Brunnermeier（2009）等學者指出外匯利差套利市場存在強烈市場因恐慌造成風險。在平穩的市場時，大家瘋狂高低息貨幣錯置套利而交易人渾然不覺自己正因如此匯差套利風險逐漸堆高，高息貨幣也跟著越堆越多；但當發生如戰爭或是其他大規模系統性風險時，大盤動指數(VIX)飆升，套利者就會集體平倉，這時低息貨幣若流動性不佳，套利者將血本無歸，這時貨幣流向也會短期誇張的逆轉。</w:t>
      </w:r>
    </w:p>
    <w:p w14:paraId="01A9241C" w14:textId="77777777" w:rsidR="001B1723" w:rsidRDefault="001B1723" w:rsidP="00912F93">
      <w:pPr>
        <w:pStyle w:val="3"/>
      </w:pPr>
      <w:r>
        <w:rPr>
          <w:rFonts w:hint="eastAsia"/>
        </w:rPr>
        <w:t>(二)</w:t>
      </w:r>
      <w:r w:rsidR="00183F35" w:rsidRPr="00183F35">
        <w:t>跨市場的牽連效應:</w:t>
      </w:r>
    </w:p>
    <w:p w14:paraId="3B6AE095" w14:textId="2F022DF0" w:rsidR="00183F35" w:rsidRPr="00183F35" w:rsidRDefault="00183F35" w:rsidP="00912F93">
      <w:pPr>
        <w:ind w:firstLineChars="200" w:firstLine="480"/>
      </w:pPr>
      <w:r w:rsidRPr="00183F35">
        <w:t>因外匯市場早已與股市債市甚至是原物料商品掛勾。股市大跌引發的跨國資產再平衡，會加速外匯資金的抽離；同時，像是原油等大宗商品價格的衝擊，也會扭曲各國的貿易條件，進而打亂原本的匯率預測路徑與財政政策方向。 </w:t>
      </w:r>
    </w:p>
    <w:p w14:paraId="1F5CF5C7" w14:textId="20AE8C2D" w:rsidR="00664BBC" w:rsidRDefault="001B1723" w:rsidP="00912F93">
      <w:pPr>
        <w:ind w:firstLineChars="200" w:firstLine="480"/>
      </w:pPr>
      <w:r>
        <w:rPr>
          <w:rFonts w:hint="eastAsia"/>
        </w:rPr>
        <w:t>三、</w:t>
      </w:r>
      <w:r w:rsidR="001F66FF">
        <w:rPr>
          <w:rFonts w:hint="eastAsia"/>
        </w:rPr>
        <w:t>模型研究架構與假說</w:t>
      </w:r>
    </w:p>
    <w:p w14:paraId="6B547205" w14:textId="77777777" w:rsidR="00DB3F4A" w:rsidRPr="00DB3F4A" w:rsidRDefault="00DB3F4A" w:rsidP="00912F93">
      <w:pPr>
        <w:ind w:firstLineChars="200" w:firstLine="480"/>
      </w:pPr>
      <w:r w:rsidRPr="00DB3F4A">
        <w:t>而本組報告與專題研究，最終參考了[1]對外匯波動、市場恐慌(VIX)之關聯性與全球貨幣的流動關系，建構了一個「避險（日圓）— 風險（澳幣）— 流動性（美元指數）」 三種貨幣流動方向假設與三種貨幣皆對於VIX變化的相關性單因子模型回測:</w:t>
      </w:r>
    </w:p>
    <w:p w14:paraId="4E55C392" w14:textId="654D9DC7" w:rsidR="00DB3F4A" w:rsidRDefault="00DB3F4A" w:rsidP="00912F93">
      <w:pPr>
        <w:pStyle w:val="3"/>
      </w:pPr>
      <w:r>
        <w:rPr>
          <w:rFonts w:hint="eastAsia"/>
        </w:rPr>
        <w:lastRenderedPageBreak/>
        <w:t>(一)</w:t>
      </w:r>
      <w:r w:rsidR="00BF69F2" w:rsidRPr="00BF69F2">
        <w:rPr>
          <w:rFonts w:ascii="Arial" w:hAnsi="Arial" w:cs="Arial"/>
          <w:color w:val="434343"/>
          <w:sz w:val="28"/>
          <w:szCs w:val="28"/>
        </w:rPr>
        <w:t xml:space="preserve"> </w:t>
      </w:r>
      <w:r w:rsidR="00BF69F2" w:rsidRPr="00BF69F2">
        <w:t>假設一:日圓（JPY）扮演「低利率與避險貨幣」</w:t>
      </w:r>
    </w:p>
    <w:p w14:paraId="537D297F" w14:textId="66EE9748" w:rsidR="00BF69F2" w:rsidRDefault="00BF69F2" w:rsidP="00912F93">
      <w:pPr>
        <w:ind w:firstLineChars="200" w:firstLine="480"/>
      </w:pPr>
      <w:r w:rsidRPr="00BF69F2">
        <w:t>日圓長期以來因低息在外匯市場上扮演利差交易的「融資貨幣」。根據[1]內容日圓的走勢與全球風險情緒呈高度非線性的負相關。 而模型表現上我們預期當市場平靜（VIX 處於低檔）時，資金會借入日圓並拋售，導致日圓持續貶值；然而，當 VIX 恐慌指數衝破特定門檻時，利差交易集體平倉會迫使國際資金大力買回日圓還債，觸發日圓暴升。</w:t>
      </w:r>
    </w:p>
    <w:p w14:paraId="34B1F5DE" w14:textId="246D9FC8" w:rsidR="00BF69F2" w:rsidRDefault="00BF69F2" w:rsidP="00912F93">
      <w:pPr>
        <w:pStyle w:val="3"/>
      </w:pPr>
      <w:r>
        <w:rPr>
          <w:rFonts w:hint="eastAsia"/>
        </w:rPr>
        <w:t>(二)</w:t>
      </w:r>
      <w:r w:rsidR="00864E60" w:rsidRPr="00864E60">
        <w:rPr>
          <w:rFonts w:ascii="Arial" w:hAnsi="Arial" w:cs="Arial"/>
          <w:color w:val="434343"/>
          <w:sz w:val="28"/>
          <w:szCs w:val="28"/>
        </w:rPr>
        <w:t xml:space="preserve"> </w:t>
      </w:r>
      <w:r w:rsidR="00864E60" w:rsidRPr="00864E60">
        <w:t>假設二:澳幣（AUD）扮演「高利率與商品貨幣」</w:t>
      </w:r>
    </w:p>
    <w:p w14:paraId="0843E530" w14:textId="235207DF" w:rsidR="00864E60" w:rsidRDefault="00864E60" w:rsidP="00912F93">
      <w:pPr>
        <w:ind w:firstLineChars="200" w:firstLine="480"/>
      </w:pPr>
      <w:r w:rsidRPr="00864E60">
        <w:t>澳洲身為大宗商品出口大國，澳幣在實務上往往是利差交易的熱門商貨幣，且其走勢深受全球原物料商品價格（如油價、鐵礦砂）的影響。 模型表現則與日圓完全相反，澳幣具備強烈的風險資產屬性。我們預期當市場樂觀、物價價格上漲時，套利資金會流入澳幣賺取利差與匯差；但當 VIX 飆升時，澳幣將作為第一線的風險資產被迅速拋售，在模型中會與日圓呈現顯著的反向走勢。</w:t>
      </w:r>
    </w:p>
    <w:p w14:paraId="5EC11DBF" w14:textId="7A688551" w:rsidR="00864E60" w:rsidRDefault="00864E60" w:rsidP="00912F93">
      <w:pPr>
        <w:pStyle w:val="3"/>
      </w:pPr>
      <w:r>
        <w:rPr>
          <w:rFonts w:hint="eastAsia"/>
        </w:rPr>
        <w:t>(三)</w:t>
      </w:r>
      <w:r w:rsidRPr="00864E60">
        <w:rPr>
          <w:rFonts w:ascii="Arial" w:hAnsi="Arial" w:cs="Arial"/>
          <w:color w:val="434343"/>
          <w:sz w:val="28"/>
          <w:szCs w:val="28"/>
        </w:rPr>
        <w:t xml:space="preserve"> </w:t>
      </w:r>
      <w:r w:rsidRPr="00864E60">
        <w:t>美元指數（DXY）扮演「全球流動性貨幣」</w:t>
      </w:r>
    </w:p>
    <w:p w14:paraId="795397EC" w14:textId="64290D3F" w:rsidR="005C00F1" w:rsidRDefault="005C00F1" w:rsidP="00912F93">
      <w:pPr>
        <w:ind w:firstLineChars="200" w:firstLine="480"/>
      </w:pPr>
      <w:r w:rsidRPr="005C00F1">
        <w:t>雖然日圓是傳統避險貨幣，但當金融危機嚴重到導致全球信用與貨幣市場陷入「流動性枯竭」時，美元才是真正流通貨幣。 模型表現中我們預期美元指數在模型中會有「兩極化」特徵。在一般恐慌時，資金可能先流向日圓平倉；但在高系統性風險時期（例如 2020 年疫情爆發初期或全球暴力升息循環中後期），美元指數會因為美元具備全球對流動性而迎來全面暴漲，壓制包含日圓與澳幣在內的所有非美貨幣。</w:t>
      </w:r>
    </w:p>
    <w:p w14:paraId="28D27CF6" w14:textId="2E10B0A0" w:rsidR="005C00F1" w:rsidRDefault="005C00F1" w:rsidP="00912F93">
      <w:pPr>
        <w:ind w:firstLineChars="200" w:firstLine="480"/>
      </w:pPr>
      <w:r>
        <w:br w:type="page"/>
      </w:r>
    </w:p>
    <w:p w14:paraId="5154B9FF" w14:textId="043D5978" w:rsidR="005C00F1" w:rsidRDefault="005C00F1" w:rsidP="00912F93">
      <w:pPr>
        <w:pStyle w:val="1"/>
      </w:pPr>
      <w:bookmarkStart w:id="7" w:name="_Toc232078173"/>
      <w:r>
        <w:rPr>
          <w:rFonts w:hint="eastAsia"/>
        </w:rPr>
        <w:lastRenderedPageBreak/>
        <w:t>參、研究方法</w:t>
      </w:r>
      <w:bookmarkEnd w:id="7"/>
    </w:p>
    <w:p w14:paraId="1ED310D9" w14:textId="33177934" w:rsidR="0027288C" w:rsidRDefault="0027288C" w:rsidP="00912F93">
      <w:pPr>
        <w:ind w:firstLineChars="200" w:firstLine="480"/>
      </w:pPr>
      <w:r w:rsidRPr="0027288C">
        <w:t>延續來自文獻回顧中的假設與研究目標，我們設定完整模型與樣本參數</w:t>
      </w:r>
    </w:p>
    <w:p w14:paraId="08805E46" w14:textId="54A711B6" w:rsidR="00122EC6" w:rsidRPr="00122EC6" w:rsidRDefault="00122EC6" w:rsidP="00912F93">
      <w:pPr>
        <w:pStyle w:val="2"/>
      </w:pPr>
      <w:bookmarkStart w:id="8" w:name="_Toc232078174"/>
      <w:r>
        <w:rPr>
          <w:rFonts w:hint="eastAsia"/>
        </w:rPr>
        <w:t>一、</w:t>
      </w:r>
      <w:r w:rsidRPr="00122EC6">
        <w:t>單因子回歸模型建構</w:t>
      </w:r>
      <w:bookmarkEnd w:id="8"/>
    </w:p>
    <w:p w14:paraId="0E7A6A53" w14:textId="0795652D" w:rsidR="00122EC6" w:rsidRPr="00122EC6" w:rsidRDefault="00122EC6" w:rsidP="00912F93">
      <w:pPr>
        <w:ind w:firstLineChars="200" w:firstLine="480"/>
      </w:pPr>
      <w:r w:rsidRPr="00122EC6">
        <w:t>根據三種貨幣，我們</w:t>
      </w:r>
      <w:r w:rsidR="004A3084">
        <w:rPr>
          <w:rFonts w:hint="eastAsia"/>
        </w:rPr>
        <w:t>研究中</w:t>
      </w:r>
      <w:r w:rsidRPr="00122EC6">
        <w:t>分別建立三種貨幣分別對VIX的單因子變動模型:</w:t>
      </w:r>
    </w:p>
    <w:p w14:paraId="127D7360" w14:textId="757A6CBB" w:rsidR="0027288C" w:rsidRDefault="004A3084" w:rsidP="00912F93">
      <w:pPr>
        <w:pStyle w:val="3"/>
      </w:pPr>
      <w:r>
        <w:rPr>
          <w:rFonts w:hint="eastAsia"/>
        </w:rPr>
        <w:t>(一)</w:t>
      </w:r>
      <w:r w:rsidRPr="004A3084">
        <w:rPr>
          <w:rFonts w:ascii="Arial" w:hAnsi="Arial" w:cs="Arial"/>
          <w:color w:val="000000"/>
          <w:sz w:val="22"/>
          <w:szCs w:val="22"/>
        </w:rPr>
        <w:t xml:space="preserve"> </w:t>
      </w:r>
      <w:r w:rsidRPr="004A3084">
        <w:t>日圓單因子模型（避險假說）:</w:t>
      </w:r>
    </w:p>
    <w:p w14:paraId="2CF36A0D" w14:textId="6FDABBB2" w:rsidR="004A3084" w:rsidRPr="0069049B" w:rsidRDefault="005268AA" w:rsidP="00912F93">
      <w:pPr>
        <w:ind w:firstLineChars="200" w:firstLine="480"/>
      </w:pPr>
      <m:oMathPara>
        <m:oMath>
          <m:sSub>
            <m:sSubPr>
              <m:ctrlPr>
                <w:rPr>
                  <w:rFonts w:ascii="Cambria Math" w:hAnsi="Cambria Math"/>
                </w:rPr>
              </m:ctrlPr>
            </m:sSubPr>
            <m:e>
              <m:r>
                <m:rPr>
                  <m:sty m:val="p"/>
                </m:rPr>
                <w:rPr>
                  <w:rFonts w:ascii="Cambria Math" w:hAnsi="Cambria Math"/>
                </w:rPr>
                <m:t>∆</m:t>
              </m:r>
              <m:r>
                <m:rPr>
                  <m:sty m:val="p"/>
                </m:rPr>
                <w:rPr>
                  <w:rFonts w:ascii="Cambria Math" w:hAnsi="Cambria Math"/>
                </w:rPr>
                <m:t>ln⁡(</m:t>
              </m:r>
              <m:r>
                <m:rPr>
                  <m:sty m:val="p"/>
                </m:rPr>
                <w:rPr>
                  <w:rFonts w:ascii="Cambria Math" w:hAnsi="Cambria Math" w:hint="eastAsia"/>
                </w:rPr>
                <m:t>USD/JPY</m:t>
              </m:r>
              <m:r>
                <m:rPr>
                  <m:sty m:val="p"/>
                </m:rPr>
                <w:rPr>
                  <w:rFonts w:ascii="Cambria Math" w:hAnsi="Cambria Math"/>
                </w:rPr>
                <m: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m:rPr>
                  <m:sty m:val="p"/>
                </m:rPr>
                <w:rPr>
                  <w:rFonts w:ascii="Cambria Math" w:hAnsi="Cambria Math"/>
                </w:rPr>
                <m:t>ln⁡(</m:t>
              </m:r>
              <m:r>
                <w:rPr>
                  <w:rFonts w:ascii="Cambria Math" w:hAnsi="Cambria Math"/>
                </w:rPr>
                <m:t>VIX</m:t>
              </m:r>
              <m:r>
                <m:rPr>
                  <m:sty m:val="p"/>
                </m:rPr>
                <w:rPr>
                  <w:rFonts w:ascii="Cambria Math" w:hAnsi="Cambria Math"/>
                </w:rPr>
                <m: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m:t>
              </m:r>
            </m:sub>
          </m:sSub>
        </m:oMath>
      </m:oMathPara>
    </w:p>
    <w:p w14:paraId="3EA63344" w14:textId="3D06E37D" w:rsidR="0069049B" w:rsidRDefault="0069049B" w:rsidP="00912F93">
      <w:pPr>
        <w:ind w:firstLineChars="200" w:firstLine="480"/>
      </w:pPr>
      <w:r w:rsidRPr="0069049B">
        <w:t xml:space="preserve">日圓每日匯率漲跌幅 </w:t>
      </w:r>
    </w:p>
    <w:p w14:paraId="5890D636" w14:textId="6B7CE58E" w:rsidR="0069049B" w:rsidRDefault="0069049B" w:rsidP="00912F93">
      <w:pPr>
        <w:ind w:firstLineChars="200" w:firstLine="480"/>
      </w:pPr>
      <w:r w:rsidRPr="0069049B">
        <w:t xml:space="preserve">= 基準常數 + ( 日圓恐慌敏感度 </w:t>
      </w:r>
      <w:r w:rsidR="007F4BFC">
        <w:rPr>
          <w:rFonts w:hint="eastAsia"/>
        </w:rPr>
        <w:t>*</w:t>
      </w:r>
      <w:r w:rsidRPr="0069049B">
        <w:t xml:space="preserve"> 恐慌指數每日變動率 ) +</w:t>
      </w:r>
      <w:r w:rsidR="00607416">
        <w:rPr>
          <w:rFonts w:hint="eastAsia"/>
        </w:rPr>
        <w:t>日圓</w:t>
      </w:r>
      <w:r w:rsidRPr="0069049B">
        <w:t>誤差干擾</w:t>
      </w:r>
    </w:p>
    <w:p w14:paraId="7F61308C" w14:textId="5A4BD1EA" w:rsidR="00607416" w:rsidRDefault="00607416" w:rsidP="00912F93">
      <w:pPr>
        <w:ind w:firstLineChars="200" w:firstLine="480"/>
      </w:pPr>
      <w:r>
        <w:rPr>
          <w:rFonts w:hint="eastAsia"/>
        </w:rPr>
        <w:t>(二)</w:t>
      </w:r>
      <w:r w:rsidRPr="00607416">
        <w:rPr>
          <w:rFonts w:ascii="Arial" w:hAnsi="Arial" w:cs="Arial"/>
          <w:color w:val="000000"/>
          <w:sz w:val="22"/>
          <w:szCs w:val="22"/>
        </w:rPr>
        <w:t xml:space="preserve"> </w:t>
      </w:r>
      <w:r w:rsidRPr="00607416">
        <w:rPr>
          <w:lang w:val="zh-TW"/>
        </w:rPr>
        <w:t>澳幣單因子模型（風險假說</w:t>
      </w:r>
      <w:r w:rsidR="00B72482">
        <w:rPr>
          <w:rFonts w:hint="eastAsia"/>
        </w:rPr>
        <w:t>）:</w:t>
      </w:r>
    </w:p>
    <w:p w14:paraId="1D7A0D31" w14:textId="3078D922" w:rsidR="00F8133E" w:rsidRPr="0069049B" w:rsidRDefault="005268AA" w:rsidP="00912F93">
      <w:pPr>
        <w:ind w:firstLineChars="200" w:firstLine="480"/>
      </w:pPr>
      <m:oMathPara>
        <m:oMath>
          <m:sSub>
            <m:sSubPr>
              <m:ctrlPr>
                <w:rPr>
                  <w:rFonts w:ascii="Cambria Math" w:hAnsi="Cambria Math"/>
                </w:rPr>
              </m:ctrlPr>
            </m:sSubPr>
            <m:e>
              <m:r>
                <m:rPr>
                  <m:sty m:val="p"/>
                </m:rPr>
                <w:rPr>
                  <w:rFonts w:ascii="Cambria Math" w:hAnsi="Cambria Math"/>
                </w:rPr>
                <m:t>∆</m:t>
              </m:r>
              <m:r>
                <m:rPr>
                  <m:sty m:val="p"/>
                </m:rPr>
                <w:rPr>
                  <w:rFonts w:ascii="Cambria Math" w:hAnsi="Cambria Math"/>
                </w:rPr>
                <m:t>ln⁡(</m:t>
              </m:r>
              <m:r>
                <m:rPr>
                  <m:sty m:val="p"/>
                </m:rPr>
                <w:rPr>
                  <w:rFonts w:ascii="Cambria Math" w:hAnsi="Cambria Math" w:hint="eastAsia"/>
                </w:rPr>
                <m:t>USD/AUD</m:t>
              </m:r>
              <m:r>
                <m:rPr>
                  <m:sty m:val="p"/>
                </m:rPr>
                <w:rPr>
                  <w:rFonts w:ascii="Cambria Math" w:hAnsi="Cambria Math"/>
                </w:rPr>
                <m: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m:rPr>
                  <m:sty m:val="p"/>
                </m:rPr>
                <w:rPr>
                  <w:rFonts w:ascii="Cambria Math" w:hAnsi="Cambria Math"/>
                </w:rPr>
                <m:t>ln⁡(</m:t>
              </m:r>
              <m:r>
                <w:rPr>
                  <w:rFonts w:ascii="Cambria Math" w:hAnsi="Cambria Math"/>
                </w:rPr>
                <m:t>VIX</m:t>
              </m:r>
              <m:r>
                <m:rPr>
                  <m:sty m:val="p"/>
                </m:rPr>
                <w:rPr>
                  <w:rFonts w:ascii="Cambria Math" w:hAnsi="Cambria Math"/>
                </w:rPr>
                <m: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hint="eastAsia"/>
                </w:rPr>
                <m:t>AUD</m:t>
              </m:r>
            </m:sub>
          </m:sSub>
        </m:oMath>
      </m:oMathPara>
    </w:p>
    <w:p w14:paraId="6E3C7F80" w14:textId="77777777" w:rsidR="007C683D" w:rsidRDefault="007C683D" w:rsidP="009804B6">
      <w:r w:rsidRPr="007C683D">
        <w:t xml:space="preserve">澳幣每日匯率漲跌幅 </w:t>
      </w:r>
    </w:p>
    <w:p w14:paraId="023FCC24" w14:textId="099FBA5A" w:rsidR="007C683D" w:rsidRPr="007C683D" w:rsidRDefault="007C683D" w:rsidP="00912F93">
      <w:pPr>
        <w:ind w:firstLineChars="200" w:firstLine="480"/>
      </w:pPr>
      <w:r w:rsidRPr="007C683D">
        <w:t>= 基準常數 + ( 澳幣恐慌敏感度</w:t>
      </w:r>
      <w:r>
        <w:rPr>
          <w:rFonts w:hint="eastAsia"/>
        </w:rPr>
        <w:t xml:space="preserve"> * </w:t>
      </w:r>
      <w:r w:rsidRPr="007C683D">
        <w:t xml:space="preserve">恐慌指數每日變動率 ) + </w:t>
      </w:r>
      <w:r w:rsidR="00597177">
        <w:rPr>
          <w:rFonts w:hint="eastAsia"/>
        </w:rPr>
        <w:t>澳幣</w:t>
      </w:r>
      <w:r w:rsidRPr="007C683D">
        <w:t>誤差干擾</w:t>
      </w:r>
    </w:p>
    <w:p w14:paraId="3E62DBE7" w14:textId="7C14F257" w:rsidR="001F7391" w:rsidRPr="001F7391" w:rsidRDefault="007C683D" w:rsidP="00912F93">
      <w:pPr>
        <w:pStyle w:val="3"/>
      </w:pPr>
      <w:r>
        <w:rPr>
          <w:rFonts w:hint="eastAsia"/>
        </w:rPr>
        <w:t>(三)</w:t>
      </w:r>
      <w:r w:rsidR="001F7391" w:rsidRPr="001F7391">
        <w:rPr>
          <w:rFonts w:ascii="Arial" w:eastAsia="新細明體" w:hAnsi="Arial" w:cs="Arial"/>
          <w:color w:val="000000"/>
          <w:kern w:val="0"/>
          <w:sz w:val="22"/>
          <w:szCs w:val="22"/>
          <w14:ligatures w14:val="none"/>
        </w:rPr>
        <w:t xml:space="preserve"> </w:t>
      </w:r>
      <w:r w:rsidR="001F7391" w:rsidRPr="001F7391">
        <w:t>美元單因子模型</w:t>
      </w:r>
      <w:r w:rsidR="00B72482" w:rsidRPr="00607416">
        <w:rPr>
          <w:lang w:val="zh-TW"/>
        </w:rPr>
        <w:t>（</w:t>
      </w:r>
      <w:r w:rsidR="00C76C72">
        <w:rPr>
          <w:rFonts w:hint="eastAsia"/>
        </w:rPr>
        <w:t>流動性對照</w:t>
      </w:r>
      <w:r w:rsidR="00B72482">
        <w:rPr>
          <w:rFonts w:hint="eastAsia"/>
        </w:rPr>
        <w:t>）:</w:t>
      </w:r>
    </w:p>
    <w:p w14:paraId="2CE5C447" w14:textId="6584A124" w:rsidR="001F7391" w:rsidRPr="0069049B" w:rsidRDefault="005268AA" w:rsidP="00912F93">
      <w:pPr>
        <w:ind w:firstLineChars="200" w:firstLine="480"/>
      </w:pPr>
      <m:oMathPara>
        <m:oMath>
          <m:sSub>
            <m:sSubPr>
              <m:ctrlPr>
                <w:rPr>
                  <w:rFonts w:ascii="Cambria Math" w:hAnsi="Cambria Math"/>
                </w:rPr>
              </m:ctrlPr>
            </m:sSubPr>
            <m:e>
              <m:r>
                <m:rPr>
                  <m:sty m:val="p"/>
                </m:rPr>
                <w:rPr>
                  <w:rFonts w:ascii="Cambria Math" w:hAnsi="Cambria Math"/>
                </w:rPr>
                <m:t>∆</m:t>
              </m:r>
              <m:r>
                <m:rPr>
                  <m:sty m:val="p"/>
                </m:rPr>
                <w:rPr>
                  <w:rFonts w:ascii="Cambria Math" w:hAnsi="Cambria Math"/>
                </w:rPr>
                <m:t>ln⁡(</m:t>
              </m:r>
              <m:r>
                <m:rPr>
                  <m:sty m:val="p"/>
                </m:rPr>
                <w:rPr>
                  <w:rFonts w:ascii="Cambria Math" w:hAnsi="Cambria Math" w:hint="eastAsia"/>
                </w:rPr>
                <m:t>DXY</m:t>
              </m:r>
              <m:r>
                <m:rPr>
                  <m:sty m:val="p"/>
                </m:rPr>
                <w:rPr>
                  <w:rFonts w:ascii="Cambria Math" w:hAnsi="Cambria Math"/>
                </w:rPr>
                <m: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m:rPr>
                  <m:sty m:val="p"/>
                </m:rPr>
                <w:rPr>
                  <w:rFonts w:ascii="Cambria Math" w:hAnsi="Cambria Math"/>
                </w:rPr>
                <m:t>ln⁡(</m:t>
              </m:r>
              <m:r>
                <w:rPr>
                  <w:rFonts w:ascii="Cambria Math" w:hAnsi="Cambria Math"/>
                </w:rPr>
                <m:t>VIX</m:t>
              </m:r>
              <m:r>
                <m:rPr>
                  <m:sty m:val="p"/>
                </m:rPr>
                <w:rPr>
                  <w:rFonts w:ascii="Cambria Math" w:hAnsi="Cambria Math"/>
                </w:rPr>
                <m: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hint="eastAsia"/>
                </w:rPr>
                <m:t>DXY</m:t>
              </m:r>
            </m:sub>
          </m:sSub>
        </m:oMath>
      </m:oMathPara>
    </w:p>
    <w:p w14:paraId="2CFA22AD" w14:textId="77777777" w:rsidR="00597177" w:rsidRDefault="00597177" w:rsidP="00912F93">
      <w:pPr>
        <w:ind w:firstLineChars="200" w:firstLine="480"/>
      </w:pPr>
      <w:r w:rsidRPr="00597177">
        <w:t xml:space="preserve">美元每日匯率漲跌幅 </w:t>
      </w:r>
    </w:p>
    <w:p w14:paraId="25F4053F" w14:textId="4708C948" w:rsidR="00F8133E" w:rsidRDefault="00597177" w:rsidP="00912F93">
      <w:pPr>
        <w:ind w:firstLineChars="200" w:firstLine="480"/>
      </w:pPr>
      <w:r w:rsidRPr="00597177">
        <w:t xml:space="preserve">= 基準常數 + ( 美元恐慌敏感度 </w:t>
      </w:r>
      <w:r>
        <w:rPr>
          <w:rFonts w:hint="eastAsia"/>
        </w:rPr>
        <w:t>*</w:t>
      </w:r>
      <w:r w:rsidRPr="00597177">
        <w:t xml:space="preserve"> 恐慌指數每日變動率 ) + </w:t>
      </w:r>
      <w:r>
        <w:rPr>
          <w:rFonts w:hint="eastAsia"/>
        </w:rPr>
        <w:t>美元</w:t>
      </w:r>
      <w:r w:rsidRPr="00597177">
        <w:t>誤差干擾</w:t>
      </w:r>
    </w:p>
    <w:p w14:paraId="3011FB9E" w14:textId="2B97CB4E" w:rsidR="00597177" w:rsidRDefault="001F69A3" w:rsidP="00912F93">
      <w:pPr>
        <w:ind w:firstLineChars="200" w:firstLine="480"/>
      </w:pPr>
      <w:r w:rsidRPr="001F69A3">
        <w:t>透過這三個貨幣的模型預設，我們希望能完整了解現實外匯市場中，國際投機資金與避險資金在恐慌下的實際流動真相，進而驗證黃志典老師課本中所提及的「未拋補利率平價條件失效」在現實金融世界中的操作實務。</w:t>
      </w:r>
    </w:p>
    <w:p w14:paraId="6CEA1221" w14:textId="0921C015" w:rsidR="001F69A3" w:rsidRDefault="001F69A3" w:rsidP="00912F93">
      <w:pPr>
        <w:pStyle w:val="2"/>
      </w:pPr>
      <w:bookmarkStart w:id="9" w:name="_Toc232078175"/>
      <w:r>
        <w:rPr>
          <w:rFonts w:hint="eastAsia"/>
        </w:rPr>
        <w:t>二、資料範圍為與預期結果</w:t>
      </w:r>
      <w:bookmarkEnd w:id="9"/>
    </w:p>
    <w:p w14:paraId="39BAA6A9" w14:textId="77777777" w:rsidR="003C393A" w:rsidRPr="003C393A" w:rsidRDefault="003C393A" w:rsidP="00912F93">
      <w:pPr>
        <w:ind w:firstLineChars="200" w:firstLine="480"/>
      </w:pPr>
      <w:r w:rsidRPr="003C393A">
        <w:lastRenderedPageBreak/>
        <w:t>我們將樣本採用2019年1月1號至2025年6月30日，觀察期間內各式股災與VIX不同程度漲幅的情況下對於三種貨幣的VIX變數係數，比較其符號方向（帶動升值或貶值）以及 P-value 是否達到統計顯著。</w:t>
      </w:r>
    </w:p>
    <w:p w14:paraId="48986CFF" w14:textId="77777777" w:rsidR="003C393A" w:rsidRPr="003C393A" w:rsidRDefault="003C393A" w:rsidP="00912F93">
      <w:pPr>
        <w:ind w:firstLineChars="200" w:firstLine="480"/>
      </w:pPr>
      <w:r w:rsidRPr="003C393A">
        <w:t>以下是數據的預期結果：  </w:t>
      </w:r>
    </w:p>
    <w:p w14:paraId="693147EE" w14:textId="77777777" w:rsidR="001E2AE0" w:rsidRDefault="003C393A" w:rsidP="00912F93">
      <w:pPr>
        <w:pStyle w:val="3"/>
      </w:pPr>
      <w:r w:rsidRPr="003C393A">
        <w:t>(1)日圓（JPY）與 VIX 呈現「正相關」 :</w:t>
      </w:r>
    </w:p>
    <w:p w14:paraId="1A9A570B" w14:textId="2C26D7CB" w:rsidR="003C393A" w:rsidRPr="003C393A" w:rsidRDefault="003C393A" w:rsidP="00912F93">
      <w:pPr>
        <w:ind w:firstLineChars="200" w:firstLine="480"/>
      </w:pPr>
      <w:r w:rsidRPr="003C393A">
        <w:t>我們預期當 當市場發生恐慌（VIX 上升）時，日圓預期會大幅升值。因為套利的人為了保命，會急著買回低利率的日圓來還債，這就是利差交易平倉，會把日圓匯率直接推高。</w:t>
      </w:r>
    </w:p>
    <w:p w14:paraId="27540A9F" w14:textId="77777777" w:rsidR="001E2AE0" w:rsidRDefault="003C393A" w:rsidP="00912F93">
      <w:pPr>
        <w:pStyle w:val="3"/>
      </w:pPr>
      <w:r w:rsidRPr="003C393A">
        <w:t>(2)澳幣（AUD）與 VIX 呈現「負相關」  :</w:t>
      </w:r>
    </w:p>
    <w:p w14:paraId="2E0A03C2" w14:textId="22A176B7" w:rsidR="003C393A" w:rsidRPr="003C393A" w:rsidRDefault="003C393A" w:rsidP="00912F93">
      <w:pPr>
        <w:ind w:firstLineChars="200" w:firstLine="480"/>
      </w:pPr>
      <w:r w:rsidRPr="003C393A">
        <w:t>澳幣是高利率的商品貨幣，屬於風險資產。我們預期市場恐慌（VIX 上升）時，澳幣會第一時間被外資無情拋售，導致澳幣貶值，走勢預期會跟日圓完全相反。 </w:t>
      </w:r>
    </w:p>
    <w:p w14:paraId="488BBAC2" w14:textId="77777777" w:rsidR="001E2AE0" w:rsidRDefault="003C393A" w:rsidP="00912F93">
      <w:pPr>
        <w:pStyle w:val="3"/>
      </w:pPr>
      <w:r w:rsidRPr="003C393A">
        <w:t>(3)美元指數（DXY）與 VIX 呈現「正相關」:</w:t>
      </w:r>
    </w:p>
    <w:p w14:paraId="513EFD3F" w14:textId="5E283BD1" w:rsidR="003C393A" w:rsidRPr="003C393A" w:rsidRDefault="003C393A" w:rsidP="00912F93">
      <w:pPr>
        <w:ind w:firstLineChars="200" w:firstLine="480"/>
      </w:pPr>
      <w:r w:rsidRPr="003C393A">
        <w:t xml:space="preserve">像是遇到像 2020 疫情或暴力升息這種全球流動性枯竭的極端狀況，美元會成為搶手的避險貨幣，跟 VIX 一起上揚。 </w:t>
      </w:r>
    </w:p>
    <w:p w14:paraId="68E3E308" w14:textId="33888BA7" w:rsidR="001E2AE0" w:rsidRDefault="001E2AE0" w:rsidP="00912F93">
      <w:pPr>
        <w:ind w:firstLineChars="200" w:firstLine="480"/>
      </w:pPr>
      <w:r>
        <w:br w:type="page"/>
      </w:r>
    </w:p>
    <w:p w14:paraId="18626415" w14:textId="1B0A6CDB" w:rsidR="003C393A" w:rsidRDefault="001E2AE0" w:rsidP="00912F93">
      <w:pPr>
        <w:pStyle w:val="1"/>
      </w:pPr>
      <w:bookmarkStart w:id="10" w:name="_Toc232078176"/>
      <w:r>
        <w:rPr>
          <w:rFonts w:hint="eastAsia"/>
        </w:rPr>
        <w:lastRenderedPageBreak/>
        <w:t>肆、實證分析</w:t>
      </w:r>
      <w:bookmarkEnd w:id="10"/>
    </w:p>
    <w:p w14:paraId="2E7A0947" w14:textId="1340826A" w:rsidR="00ED46F9" w:rsidRPr="00ED46F9" w:rsidRDefault="00ED46F9" w:rsidP="00912F93">
      <w:pPr>
        <w:ind w:firstLineChars="200" w:firstLine="480"/>
      </w:pPr>
      <w:r w:rsidRPr="00ED46F9">
        <w:t>本研究以OLS單因子迴歸模型分析1712筆觀測值。結果</w:t>
      </w:r>
      <w:r w:rsidR="00A263FD">
        <w:rPr>
          <w:rFonts w:hint="eastAsia"/>
        </w:rPr>
        <w:t>(表一)</w:t>
      </w:r>
      <w:r w:rsidRPr="00ED46F9">
        <w:t>顯示，模型C（美元指數）之VIX係數為0.0044（p &lt; 0.001），達統計顯著，</w:t>
      </w:r>
      <w:r w:rsidR="69418510">
        <w:t>呈現</w:t>
      </w:r>
      <w:r w:rsidRPr="00ED46F9">
        <w:t>正相關。模型A（日圓）係數為-0.0028，（p = 0.092）未達顯著水準；模型B（澳幣）係數為-0.0016，未達顯著水準（p = 0.410）</w:t>
      </w:r>
      <w:r w:rsidR="1690FBC4">
        <w:t>。</w:t>
      </w:r>
      <w:r w:rsidRPr="00ED46F9">
        <w:t>此外，三模型之常數項（截距）皆不顯著異於零。數據</w:t>
      </w:r>
      <w:r w:rsidR="5DD45364">
        <w:t>顯示</w:t>
      </w:r>
      <w:r w:rsidRPr="00ED46F9">
        <w:t>在</w:t>
      </w:r>
      <w:r w:rsidR="6FA50020">
        <w:t>三個目標貨幣</w:t>
      </w:r>
      <w:r w:rsidRPr="00ED46F9">
        <w:t>中，僅美元具備統計上顯著之避險解釋力。 </w:t>
      </w:r>
    </w:p>
    <w:p w14:paraId="36EF9AB8" w14:textId="4C7EE77E" w:rsidR="00ED46F9" w:rsidRDefault="00ED46F9" w:rsidP="00912F93">
      <w:pPr>
        <w:ind w:firstLineChars="200" w:firstLine="480"/>
      </w:pPr>
    </w:p>
    <w:tbl>
      <w:tblPr>
        <w:tblW w:w="8330" w:type="dxa"/>
        <w:tblCellMar>
          <w:top w:w="15" w:type="dxa"/>
          <w:left w:w="15" w:type="dxa"/>
          <w:bottom w:w="15" w:type="dxa"/>
          <w:right w:w="15" w:type="dxa"/>
        </w:tblCellMar>
        <w:tblLook w:val="04A0" w:firstRow="1" w:lastRow="0" w:firstColumn="1" w:lastColumn="0" w:noHBand="0" w:noVBand="1"/>
      </w:tblPr>
      <w:tblGrid>
        <w:gridCol w:w="1536"/>
        <w:gridCol w:w="1536"/>
        <w:gridCol w:w="2121"/>
        <w:gridCol w:w="3137"/>
      </w:tblGrid>
      <w:tr w:rsidR="00A263FD" w:rsidRPr="00A263FD" w14:paraId="156B41D3" w14:textId="77777777" w:rsidTr="0077680D">
        <w:trPr>
          <w:trHeight w:val="57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9A00B" w14:textId="77777777" w:rsidR="00A263FD" w:rsidRPr="00A263FD" w:rsidRDefault="00A263FD" w:rsidP="006D5844">
            <w:r w:rsidRPr="00A263FD">
              <w:t>目標貨幣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D90B4" w14:textId="77777777" w:rsidR="00A263FD" w:rsidRPr="00A263FD" w:rsidRDefault="00A263FD" w:rsidP="006D5844">
            <w:r w:rsidRPr="00A263FD">
              <w:t>相關係數</w:t>
            </w:r>
          </w:p>
        </w:tc>
        <w:tc>
          <w:tcPr>
            <w:tcW w:w="2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50089" w14:textId="77777777" w:rsidR="00A263FD" w:rsidRPr="00A263FD" w:rsidRDefault="00A263FD" w:rsidP="006D5844">
            <w:r w:rsidRPr="00A263FD">
              <w:t>P-Value</w:t>
            </w:r>
          </w:p>
        </w:tc>
        <w:tc>
          <w:tcPr>
            <w:tcW w:w="31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27BFC" w14:textId="77777777" w:rsidR="00A263FD" w:rsidRPr="00A263FD" w:rsidRDefault="00A263FD" w:rsidP="006D5844">
            <w:r w:rsidRPr="00A263FD">
              <w:t>結果</w:t>
            </w:r>
          </w:p>
        </w:tc>
      </w:tr>
      <w:tr w:rsidR="00A263FD" w:rsidRPr="00A263FD" w14:paraId="2BC186DA" w14:textId="77777777" w:rsidTr="0077680D">
        <w:trPr>
          <w:trHeight w:val="4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8F5DF" w14:textId="77777777" w:rsidR="00A263FD" w:rsidRPr="00A263FD" w:rsidRDefault="00A263FD" w:rsidP="006D5844">
            <w:r w:rsidRPr="00A263FD">
              <w:t>日幣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D4B06" w14:textId="77777777" w:rsidR="00A263FD" w:rsidRPr="00A263FD" w:rsidRDefault="00A263FD" w:rsidP="006D5844">
            <w:r w:rsidRPr="00A263FD">
              <w:t>-0.0028</w:t>
            </w:r>
          </w:p>
        </w:tc>
        <w:tc>
          <w:tcPr>
            <w:tcW w:w="2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3E4F1" w14:textId="77777777" w:rsidR="00A263FD" w:rsidRPr="00A263FD" w:rsidRDefault="00A263FD" w:rsidP="006D5844">
            <w:r w:rsidRPr="00A263FD">
              <w:t>0.092</w:t>
            </w:r>
          </w:p>
        </w:tc>
        <w:tc>
          <w:tcPr>
            <w:tcW w:w="31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2E17F" w14:textId="77777777" w:rsidR="00A263FD" w:rsidRPr="00A263FD" w:rsidRDefault="00A263FD" w:rsidP="006D5844">
            <w:r w:rsidRPr="00A263FD">
              <w:t>P&gt;0.05不顯著</w:t>
            </w:r>
          </w:p>
        </w:tc>
      </w:tr>
      <w:tr w:rsidR="00A263FD" w:rsidRPr="00A263FD" w14:paraId="07AD5252" w14:textId="77777777" w:rsidTr="0077680D">
        <w:trPr>
          <w:trHeight w:val="4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F1823" w14:textId="77777777" w:rsidR="00A263FD" w:rsidRPr="00A263FD" w:rsidRDefault="00A263FD" w:rsidP="006D5844">
            <w:r w:rsidRPr="00A263FD">
              <w:t>澳幣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DC05E" w14:textId="77777777" w:rsidR="00A263FD" w:rsidRPr="00A263FD" w:rsidRDefault="00A263FD" w:rsidP="006D5844">
            <w:r w:rsidRPr="00A263FD">
              <w:t>-0.0016</w:t>
            </w:r>
          </w:p>
        </w:tc>
        <w:tc>
          <w:tcPr>
            <w:tcW w:w="2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9C532" w14:textId="77777777" w:rsidR="00A263FD" w:rsidRPr="00A263FD" w:rsidRDefault="00A263FD" w:rsidP="006D5844">
            <w:r w:rsidRPr="00A263FD">
              <w:t>0.410</w:t>
            </w:r>
          </w:p>
        </w:tc>
        <w:tc>
          <w:tcPr>
            <w:tcW w:w="31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ECA22" w14:textId="77777777" w:rsidR="00A263FD" w:rsidRPr="00A263FD" w:rsidRDefault="00A263FD" w:rsidP="006D5844">
            <w:r w:rsidRPr="00A263FD">
              <w:t>P&gt;0.05不顯著</w:t>
            </w:r>
          </w:p>
        </w:tc>
      </w:tr>
      <w:tr w:rsidR="00A263FD" w:rsidRPr="00A263FD" w14:paraId="5AF859B5" w14:textId="77777777" w:rsidTr="0077680D">
        <w:trPr>
          <w:trHeight w:val="51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BD0B5" w14:textId="77777777" w:rsidR="00A263FD" w:rsidRPr="00A263FD" w:rsidRDefault="00A263FD" w:rsidP="006D5844">
            <w:r w:rsidRPr="00A263FD">
              <w:t>美元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27D14" w14:textId="77777777" w:rsidR="00A263FD" w:rsidRPr="00A263FD" w:rsidRDefault="00A263FD" w:rsidP="006D5844">
            <w:r w:rsidRPr="00A263FD">
              <w:t>0.0044</w:t>
            </w:r>
          </w:p>
        </w:tc>
        <w:tc>
          <w:tcPr>
            <w:tcW w:w="2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5537D" w14:textId="77777777" w:rsidR="00A263FD" w:rsidRPr="00A263FD" w:rsidRDefault="00A263FD" w:rsidP="006D5844">
            <w:r w:rsidRPr="00A263FD">
              <w:t>0.000419</w:t>
            </w:r>
          </w:p>
        </w:tc>
        <w:tc>
          <w:tcPr>
            <w:tcW w:w="31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0B97A" w14:textId="78F7E496" w:rsidR="00A263FD" w:rsidRPr="00A263FD" w:rsidRDefault="00A263FD" w:rsidP="006D5844">
            <w:r w:rsidRPr="00A263FD">
              <w:t>P&lt;0.01極顯著</w:t>
            </w:r>
          </w:p>
        </w:tc>
      </w:tr>
    </w:tbl>
    <w:p w14:paraId="72F7F0C1" w14:textId="3B83A304" w:rsidR="00A263FD" w:rsidRDefault="00A263FD" w:rsidP="00912F93">
      <w:pPr>
        <w:pStyle w:val="3"/>
      </w:pPr>
      <w:r>
        <w:rPr>
          <w:rFonts w:hint="eastAsia"/>
        </w:rPr>
        <w:t>表</w:t>
      </w:r>
      <w:proofErr w:type="gramStart"/>
      <w:r>
        <w:rPr>
          <w:rFonts w:hint="eastAsia"/>
        </w:rPr>
        <w:t>一</w:t>
      </w:r>
      <w:proofErr w:type="gramEnd"/>
      <w:r>
        <w:rPr>
          <w:rFonts w:hint="eastAsia"/>
        </w:rPr>
        <w:t xml:space="preserve"> 統計數據</w:t>
      </w:r>
    </w:p>
    <w:p w14:paraId="5B3DEC5E" w14:textId="77777777" w:rsidR="00AB33CC" w:rsidRPr="00AB33CC" w:rsidRDefault="00AB33CC" w:rsidP="00AB33CC">
      <w:pPr>
        <w:rPr>
          <w:rFonts w:hint="eastAsia"/>
        </w:rPr>
      </w:pPr>
    </w:p>
    <w:p w14:paraId="6B0D482C" w14:textId="77777777" w:rsidR="001220F8" w:rsidRDefault="00AE4BC6" w:rsidP="00912F93">
      <w:pPr>
        <w:ind w:firstLineChars="200" w:firstLine="440"/>
      </w:pPr>
      <w:r>
        <w:rPr>
          <w:rFonts w:ascii="Arial" w:hAnsi="Arial" w:cs="Arial"/>
          <w:noProof/>
          <w:color w:val="000000"/>
          <w:sz w:val="22"/>
          <w:szCs w:val="22"/>
          <w:bdr w:val="none" w:sz="0" w:space="0" w:color="auto" w:frame="1"/>
        </w:rPr>
        <w:drawing>
          <wp:inline distT="0" distB="0" distL="0" distR="0" wp14:anchorId="26E02E44" wp14:editId="52171404">
            <wp:extent cx="2429972" cy="1942759"/>
            <wp:effectExtent l="0" t="0" r="8890" b="635"/>
            <wp:docPr id="2056402455"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799" cy="1949816"/>
                    </a:xfrm>
                    <a:prstGeom prst="rect">
                      <a:avLst/>
                    </a:prstGeom>
                    <a:noFill/>
                    <a:ln>
                      <a:noFill/>
                    </a:ln>
                  </pic:spPr>
                </pic:pic>
              </a:graphicData>
            </a:graphic>
          </wp:inline>
        </w:drawing>
      </w:r>
      <w:r w:rsidR="004D1E88">
        <w:rPr>
          <w:rFonts w:hint="eastAsia"/>
        </w:rPr>
        <w:t xml:space="preserve"> </w:t>
      </w:r>
    </w:p>
    <w:p w14:paraId="17BDC276" w14:textId="5DE3CA19" w:rsidR="00AE4BC6" w:rsidRDefault="004D1E88" w:rsidP="00912F93">
      <w:pPr>
        <w:pStyle w:val="3"/>
      </w:pPr>
      <w:r>
        <w:rPr>
          <w:rFonts w:hint="eastAsia"/>
        </w:rPr>
        <w:t xml:space="preserve"> </w:t>
      </w:r>
      <w:r w:rsidR="00AE4BC6">
        <w:rPr>
          <w:rFonts w:hint="eastAsia"/>
        </w:rPr>
        <w:t>圖</w:t>
      </w:r>
      <w:r w:rsidR="00EB60C1">
        <w:rPr>
          <w:rFonts w:hint="eastAsia"/>
        </w:rPr>
        <w:t>一 日圓匯率與VIX相關性</w:t>
      </w:r>
      <w:r w:rsidR="00B96BAF">
        <w:rPr>
          <w:rFonts w:hint="eastAsia"/>
        </w:rPr>
        <w:t>點簇</w:t>
      </w:r>
    </w:p>
    <w:p w14:paraId="755AFE99" w14:textId="06CD160D" w:rsidR="001220F8" w:rsidRDefault="001220F8" w:rsidP="00912F93">
      <w:pPr>
        <w:ind w:firstLineChars="200" w:firstLine="480"/>
      </w:pPr>
      <w:r>
        <w:br w:type="page"/>
      </w:r>
    </w:p>
    <w:p w14:paraId="04D39298" w14:textId="5087CFE1" w:rsidR="00B96BAF" w:rsidRDefault="001220F8" w:rsidP="00912F93">
      <w:pPr>
        <w:ind w:firstLineChars="200" w:firstLine="480"/>
      </w:pPr>
      <w:r>
        <w:rPr>
          <w:noProof/>
          <w:bdr w:val="none" w:sz="0" w:space="0" w:color="auto" w:frame="1"/>
        </w:rPr>
        <w:lastRenderedPageBreak/>
        <w:drawing>
          <wp:inline distT="0" distB="0" distL="0" distR="0" wp14:anchorId="57A015DB" wp14:editId="2E6E177D">
            <wp:extent cx="3070860" cy="2156460"/>
            <wp:effectExtent l="0" t="0" r="0" b="0"/>
            <wp:docPr id="101348272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0860" cy="2156460"/>
                    </a:xfrm>
                    <a:prstGeom prst="rect">
                      <a:avLst/>
                    </a:prstGeom>
                    <a:noFill/>
                    <a:ln>
                      <a:noFill/>
                    </a:ln>
                  </pic:spPr>
                </pic:pic>
              </a:graphicData>
            </a:graphic>
          </wp:inline>
        </w:drawing>
      </w:r>
    </w:p>
    <w:p w14:paraId="6D68D722" w14:textId="47BCCEC6" w:rsidR="00C64E7C" w:rsidRDefault="00C64E7C" w:rsidP="00912F93">
      <w:pPr>
        <w:pStyle w:val="3"/>
      </w:pPr>
      <w:r>
        <w:rPr>
          <w:rFonts w:hint="eastAsia"/>
        </w:rPr>
        <w:t>圖二 澳幣匯率與VIX相關性點簇</w:t>
      </w:r>
    </w:p>
    <w:p w14:paraId="3277C8B2" w14:textId="46BF020D" w:rsidR="00C64E7C" w:rsidRPr="00C64E7C" w:rsidRDefault="00C64E7C" w:rsidP="00912F93">
      <w:pPr>
        <w:ind w:firstLineChars="200" w:firstLine="480"/>
      </w:pPr>
      <w:r>
        <w:rPr>
          <w:noProof/>
          <w:bdr w:val="none" w:sz="0" w:space="0" w:color="auto" w:frame="1"/>
        </w:rPr>
        <w:drawing>
          <wp:inline distT="0" distB="0" distL="0" distR="0" wp14:anchorId="05EA5299" wp14:editId="5721CCEA">
            <wp:extent cx="3017520" cy="2529840"/>
            <wp:effectExtent l="0" t="0" r="0" b="3810"/>
            <wp:docPr id="180316717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17520" cy="2529840"/>
                    </a:xfrm>
                    <a:prstGeom prst="rect">
                      <a:avLst/>
                    </a:prstGeom>
                    <a:noFill/>
                    <a:ln>
                      <a:noFill/>
                    </a:ln>
                  </pic:spPr>
                </pic:pic>
              </a:graphicData>
            </a:graphic>
          </wp:inline>
        </w:drawing>
      </w:r>
    </w:p>
    <w:p w14:paraId="68A37051" w14:textId="09B1CFD5" w:rsidR="00AE7817" w:rsidRDefault="00AE7817" w:rsidP="00912F93">
      <w:pPr>
        <w:pStyle w:val="3"/>
      </w:pPr>
      <w:r>
        <w:rPr>
          <w:rFonts w:hint="eastAsia"/>
        </w:rPr>
        <w:t>圖二 美元指數與VIX相關性點簇</w:t>
      </w:r>
    </w:p>
    <w:p w14:paraId="55DCBE5B" w14:textId="057EC62B" w:rsidR="00AE7817" w:rsidRDefault="00AE7817" w:rsidP="00912F93">
      <w:pPr>
        <w:ind w:firstLineChars="200" w:firstLine="480"/>
      </w:pPr>
      <w:r>
        <w:br w:type="page"/>
      </w:r>
    </w:p>
    <w:p w14:paraId="6B852467" w14:textId="76F0354E" w:rsidR="001220F8" w:rsidRDefault="00C372B4" w:rsidP="00912F93">
      <w:pPr>
        <w:pStyle w:val="1"/>
      </w:pPr>
      <w:bookmarkStart w:id="11" w:name="_Toc232078177"/>
      <w:r>
        <w:rPr>
          <w:rFonts w:hint="eastAsia"/>
        </w:rPr>
        <w:lastRenderedPageBreak/>
        <w:t>伍、結論</w:t>
      </w:r>
      <w:bookmarkEnd w:id="11"/>
    </w:p>
    <w:p w14:paraId="6068122E" w14:textId="77777777" w:rsidR="00C372B4" w:rsidRPr="00C372B4" w:rsidRDefault="00C372B4" w:rsidP="00912F93">
      <w:pPr>
        <w:ind w:firstLineChars="200" w:firstLine="480"/>
      </w:pPr>
      <w:r w:rsidRPr="00C372B4">
        <w:t>在日圓模型中，我們檢驗一般因其長期維持低利率和流動性而被視為避險貨幣的日圓（JPY=X）與VIX恐慌指數的相關性。根據 OLS 迴歸模型分析，常數項</w:t>
      </w:r>
      <w:r w:rsidRPr="00C372B4">
        <w:rPr>
          <w:i/>
          <w:iCs/>
        </w:rPr>
        <w:t>α</w:t>
      </w:r>
      <w:r w:rsidRPr="00C372B4">
        <w:t>的部分為 0.0002，P-value為0.141在統計上不顯著，符合外匯市場每日報酬率平均趨近於零的特性</w:t>
      </w:r>
      <w:r w:rsidRPr="00C372B4">
        <w:rPr>
          <w:b/>
          <w:bCs/>
        </w:rPr>
        <w:t xml:space="preserve"> </w:t>
      </w:r>
      <w:r w:rsidRPr="00C372B4">
        <w:t>。而我們本篇報告所關注的自變數 VIX 係數（</w:t>
      </w:r>
      <w:r w:rsidRPr="00C372B4">
        <w:rPr>
          <w:i/>
          <w:iCs/>
        </w:rPr>
        <w:t>β</w:t>
      </w:r>
      <w:r w:rsidRPr="00C372B4">
        <w:t>）為 -0.0028， P-value 為 0.092。由於 P-value (0.092) 介於 0.05 與 0.10 之間，沒有達到0.05的顯著水平，而係數為負值，代表當 VIX 變動率上升時，USD/JPY 的匯率只有微幅的下降趨勢（代表日圓升值），這只有微弱的支持了我們前面所提到的日圓避險假說。而為何在長達六年半的樣本中，日圓的避險特性沒有顯現？我們認為這與近年來美日利差的擴大有著非常大的關聯性。2022年起疫情時代的供應鏈瓶頸以及俄烏戰爭導致了能源與糧食價格飆漲，美國聯準會為了抑制通膨放棄了寬鬆的貨幣政策而開始採取了激進的升息路徑，從年初的接近零利率（0.25% – 0.50%)到年底的 (4.25% – 4.50%)，而日本央行當時為了刺激經濟還是持續進行殖利率曲線控管以及負利率政策，這中間巨大的利差導致日圓利差交易盛行，資金為了追求高息持續流出日本。在這樣的情勢下，單純的市場恐慌帶動資金回流日本的力道，被兩國巨大的利差所稀釋，這就導致日圓在 2019-2025 年間的整體避險趨勢非常微弱。</w:t>
      </w:r>
    </w:p>
    <w:p w14:paraId="138E4DF3" w14:textId="77777777" w:rsidR="00C372B4" w:rsidRPr="00C372B4" w:rsidRDefault="00C372B4" w:rsidP="00912F93">
      <w:pPr>
        <w:ind w:firstLineChars="200" w:firstLine="480"/>
      </w:pPr>
      <w:r w:rsidRPr="00C372B4">
        <w:t>在澳幣模型中主要檢驗具備高息與原物料出口國兩種特性的澳幣（AUD=X），在市場恐慌情緒高漲時是否會遭遇資金拋售而貶值。根據迴歸模型顯示，VIX 的係數為 -0.0016，但其 P-value 高達 0.410遠大於 0.05 的顯著水準門檻，代表我們無法拒絕虛無假說。這意味著在 2019-2025 年的資料中，VIX 的單日波動與澳幣匯率的漲跌幅之間，不存在具備統計意義的穩定因果關係。在我們設定的樣本統計期間，澳幣匯率受到更多的是並非市場恐慌情緒的影響，而是被原物料價格左右。疫情後的供應鏈斷鏈與俄烏戰爭，使得全球原物料與大宗商品價格飆漲，而澳洲作為全球關鍵的鐵礦砂、煤炭與黃金等金屬出口大</w:t>
      </w:r>
      <w:r w:rsidRPr="00C372B4">
        <w:lastRenderedPageBreak/>
        <w:t>國，其貨幣因此獲得了極大的貿易條件果關係，無法支持我們原先設定的風險假說。而之所以會出現這樣的統計結果，我們認為在我們設支撐。這種來自實體經濟與大宗商品週期的強勁基本面，完全掩蓋了短期股市恐慌對資金的影響，使得我們所採用的單因子回歸模型無法觀察到 VIX 對澳幣的衝擊。</w:t>
      </w:r>
    </w:p>
    <w:p w14:paraId="221C64B6" w14:textId="4ECA2C9D" w:rsidR="00C372B4" w:rsidRPr="00C372B4" w:rsidRDefault="00C372B4" w:rsidP="00912F93">
      <w:pPr>
        <w:ind w:firstLineChars="200" w:firstLine="480"/>
      </w:pPr>
      <w:r w:rsidRPr="00C372B4">
        <w:t xml:space="preserve">美元模型中主要在檢驗美元身為全球儲備貨幣，是否能在市場恐慌時成為全球資金的避險標的。VIX 係數0.0044，P-value 顯示為 0.000419，即 </w:t>
      </w:r>
      <w:r w:rsidRPr="00C372B4">
        <w:rPr>
          <w:i/>
          <w:iCs/>
        </w:rPr>
        <w:t>p</w:t>
      </w:r>
      <w:r w:rsidRPr="00C372B4">
        <w:t>&lt;0.001，此結果達到極度統計顯著的水準。相較於日圓與澳幣的完全不顯著，模型的結果證明了在 2019-2025 年的這個時間段裡，美元才是在市場恐慌時國際資金的主要避險貨幣。自二戰後的布雷頓森林體系以來，美金一直是全球最重要的儲備貨幣，這代表各國的中央銀行和金融機構會將大量的美元資產納入其外匯儲備。且美國擁有全球最大、流動性最高、且監管完善的金融市場，無論是股票、債券、貨幣或衍生性金融商品，當國際金融市場出現動盪時，許多國家和投資者會選擇持有美金確保其資產的穩定性和流動性。除了這些原因之外，就是在日圓模型所提到的，為了對抗疫情時寬鬆政策所導致的通貨膨脹，聯準會採取了激進的升息循環，這個緊縮政策導致美國與其他主要經濟體的利差擴大，利差吸引了國際資金從其他國家(例如前面提到的日本)撤出，大舉回流美國帶動美元指數上漲。</w:t>
      </w:r>
    </w:p>
    <w:p w14:paraId="36505CF4" w14:textId="77777777" w:rsidR="00C372B4" w:rsidRPr="00C372B4" w:rsidRDefault="00C372B4" w:rsidP="00912F93">
      <w:pPr>
        <w:ind w:firstLineChars="200" w:firstLine="480"/>
      </w:pPr>
      <w:r w:rsidRPr="00C372B4">
        <w:t>最後我們也有發現存在於研究方法的問題。匯率不只受市場情緒影響，還會由兩國利差、經濟成長預期、通膨數據、貿易帳以及地緣政治等多重因素共同決定。如果未來想要更進一步應該使用多元迴歸模型，將美日利差、大宗商品價格指數等變數一起進行檢驗，才能獲得更全面的分析。</w:t>
      </w:r>
    </w:p>
    <w:p w14:paraId="6183F1D9" w14:textId="16D923AD" w:rsidR="003B6122" w:rsidRDefault="003B6122">
      <w:pPr>
        <w:spacing w:before="240" w:after="240" w:line="276" w:lineRule="auto"/>
        <w:contextualSpacing w:val="0"/>
      </w:pPr>
      <w:r>
        <w:br w:type="page"/>
      </w:r>
    </w:p>
    <w:p w14:paraId="233A6064" w14:textId="19354ABC" w:rsidR="00C372B4" w:rsidRDefault="003B6122" w:rsidP="003B6122">
      <w:pPr>
        <w:pStyle w:val="1"/>
      </w:pPr>
      <w:bookmarkStart w:id="12" w:name="_Toc232078178"/>
      <w:r>
        <w:rPr>
          <w:rFonts w:hint="eastAsia"/>
        </w:rPr>
        <w:lastRenderedPageBreak/>
        <w:t>陸、參考資料</w:t>
      </w:r>
      <w:bookmarkEnd w:id="12"/>
    </w:p>
    <w:p w14:paraId="452FADE3" w14:textId="77777777" w:rsidR="00A42BCC" w:rsidRPr="00A42BCC" w:rsidRDefault="00A42BCC" w:rsidP="00A42BCC">
      <w:pPr>
        <w:pStyle w:val="2"/>
      </w:pPr>
      <w:bookmarkStart w:id="13" w:name="_Toc232078179"/>
      <w:r w:rsidRPr="00A42BCC">
        <w:t>一、 中文文獻</w:t>
      </w:r>
      <w:bookmarkEnd w:id="13"/>
    </w:p>
    <w:p w14:paraId="512EAD6A" w14:textId="79990424" w:rsidR="00A42BCC" w:rsidRPr="00A42BCC" w:rsidRDefault="00A42BCC" w:rsidP="00A42BCC">
      <w:r w:rsidRPr="00A42BCC">
        <w:t>黃志典（2022）。</w:t>
      </w:r>
      <w:r w:rsidRPr="00A42BCC">
        <w:rPr>
          <w:i/>
          <w:iCs/>
        </w:rPr>
        <w:t>國際財務管理概論</w:t>
      </w:r>
      <w:r w:rsidRPr="00A42BCC">
        <w:t>（第六版）。</w:t>
      </w:r>
      <w:r w:rsidR="00BE0A69">
        <w:rPr>
          <w:rFonts w:hint="eastAsia"/>
        </w:rPr>
        <w:t>華泰</w:t>
      </w:r>
      <w:r w:rsidRPr="00A42BCC">
        <w:t>文化。</w:t>
      </w:r>
    </w:p>
    <w:p w14:paraId="06BF8E15" w14:textId="77777777" w:rsidR="00A42BCC" w:rsidRPr="00A42BCC" w:rsidRDefault="00A42BCC" w:rsidP="00A42BCC">
      <w:pPr>
        <w:pStyle w:val="2"/>
      </w:pPr>
      <w:bookmarkStart w:id="14" w:name="_Toc232078180"/>
      <w:r w:rsidRPr="00A42BCC">
        <w:t>二、 英文文獻</w:t>
      </w:r>
      <w:bookmarkEnd w:id="14"/>
    </w:p>
    <w:p w14:paraId="7861B88C" w14:textId="16B55197" w:rsidR="006B10B2" w:rsidRDefault="00243AF7" w:rsidP="006B10B2">
      <w:r>
        <w:rPr>
          <w:rFonts w:hint="eastAsia"/>
        </w:rPr>
        <w:t xml:space="preserve">[1] </w:t>
      </w:r>
      <w:r w:rsidR="006B10B2" w:rsidRPr="00A42BCC">
        <w:t xml:space="preserve">Guyot, O., Montgomery, H. A., &amp; Yang, P. (2026). Risk premiums, market volatility, and exchange rate dynamics: Evidence from the yen carry trade. </w:t>
      </w:r>
      <w:r w:rsidR="006B10B2" w:rsidRPr="00A42BCC">
        <w:rPr>
          <w:i/>
          <w:iCs/>
        </w:rPr>
        <w:t>Risks</w:t>
      </w:r>
      <w:r w:rsidR="006B10B2" w:rsidRPr="00A42BCC">
        <w:t xml:space="preserve">, </w:t>
      </w:r>
      <w:r w:rsidR="006B10B2" w:rsidRPr="00A42BCC">
        <w:rPr>
          <w:i/>
          <w:iCs/>
        </w:rPr>
        <w:t>14</w:t>
      </w:r>
      <w:r w:rsidR="006B10B2" w:rsidRPr="00A42BCC">
        <w:t xml:space="preserve">(3), 46. </w:t>
      </w:r>
      <w:hyperlink r:id="rId11" w:tgtFrame="_blank" w:history="1">
        <w:r w:rsidR="006B10B2" w:rsidRPr="00A42BCC">
          <w:rPr>
            <w:rStyle w:val="af2"/>
          </w:rPr>
          <w:t>https://doi.org/10.3390/risks14030046</w:t>
        </w:r>
      </w:hyperlink>
    </w:p>
    <w:p w14:paraId="2AF38FD6" w14:textId="77777777" w:rsidR="006B10B2" w:rsidRDefault="006B10B2" w:rsidP="006B10B2"/>
    <w:p w14:paraId="059ECA99" w14:textId="43315CD7" w:rsidR="006B10B2" w:rsidRDefault="00243AF7" w:rsidP="006B10B2">
      <w:r>
        <w:rPr>
          <w:rFonts w:hint="eastAsia"/>
        </w:rPr>
        <w:t>[2]</w:t>
      </w:r>
      <w:r w:rsidR="00237809">
        <w:rPr>
          <w:rFonts w:hint="eastAsia"/>
        </w:rPr>
        <w:t xml:space="preserve"> </w:t>
      </w:r>
      <w:r w:rsidR="006B10B2" w:rsidRPr="00A42BCC">
        <w:t xml:space="preserve">Fama, E. F. (1984). Forward and spot exchange rates. </w:t>
      </w:r>
      <w:r w:rsidR="006B10B2" w:rsidRPr="00A42BCC">
        <w:rPr>
          <w:i/>
          <w:iCs/>
        </w:rPr>
        <w:t>Journal of Monetary Economics</w:t>
      </w:r>
      <w:r w:rsidR="006B10B2" w:rsidRPr="00A42BCC">
        <w:t xml:space="preserve">, </w:t>
      </w:r>
      <w:r w:rsidR="006B10B2" w:rsidRPr="00A42BCC">
        <w:rPr>
          <w:i/>
          <w:iCs/>
        </w:rPr>
        <w:t>14</w:t>
      </w:r>
      <w:r w:rsidR="006B10B2" w:rsidRPr="00A42BCC">
        <w:t xml:space="preserve">(3), 319-338. </w:t>
      </w:r>
      <w:hyperlink r:id="rId12" w:tgtFrame="_blank" w:history="1">
        <w:r w:rsidR="006B10B2" w:rsidRPr="00A42BCC">
          <w:rPr>
            <w:rStyle w:val="af2"/>
          </w:rPr>
          <w:t>https://doi.org/10.1016/0304-3932(84)90046-1</w:t>
        </w:r>
      </w:hyperlink>
    </w:p>
    <w:p w14:paraId="63CD6806" w14:textId="77777777" w:rsidR="006B10B2" w:rsidRDefault="006B10B2" w:rsidP="006B10B2"/>
    <w:p w14:paraId="7DBA758C" w14:textId="6200D556" w:rsidR="00A42BCC" w:rsidRDefault="00237809" w:rsidP="00A42BCC">
      <w:r>
        <w:rPr>
          <w:rFonts w:hint="eastAsia"/>
        </w:rPr>
        <w:t xml:space="preserve">[3] </w:t>
      </w:r>
      <w:r w:rsidR="00A42BCC" w:rsidRPr="00A42BCC">
        <w:t xml:space="preserve">Brunnermeier, M. K., Nagel, S., &amp; Pedersen, L. H. (2009). Carry trades and currency crashes. </w:t>
      </w:r>
      <w:r w:rsidR="00A42BCC" w:rsidRPr="00A42BCC">
        <w:rPr>
          <w:i/>
          <w:iCs/>
        </w:rPr>
        <w:t>NBER Macroeconomics Annual</w:t>
      </w:r>
      <w:r w:rsidR="00A42BCC" w:rsidRPr="00A42BCC">
        <w:t xml:space="preserve">, </w:t>
      </w:r>
      <w:r w:rsidR="00A42BCC" w:rsidRPr="00A42BCC">
        <w:rPr>
          <w:i/>
          <w:iCs/>
        </w:rPr>
        <w:t>23</w:t>
      </w:r>
      <w:r w:rsidR="00A42BCC" w:rsidRPr="00A42BCC">
        <w:t xml:space="preserve">, 313-347. </w:t>
      </w:r>
      <w:hyperlink r:id="rId13" w:tgtFrame="_blank" w:history="1">
        <w:r w:rsidR="00A42BCC" w:rsidRPr="00A42BCC">
          <w:rPr>
            <w:rStyle w:val="af2"/>
          </w:rPr>
          <w:t>https://doi.org/10.1086/593082</w:t>
        </w:r>
      </w:hyperlink>
    </w:p>
    <w:p w14:paraId="3D1DDBB5" w14:textId="77777777" w:rsidR="00A42BCC" w:rsidRPr="00A42BCC" w:rsidRDefault="00A42BCC" w:rsidP="00A42BCC"/>
    <w:p w14:paraId="514F3CF4" w14:textId="77777777" w:rsidR="00A42BCC" w:rsidRPr="00A42BCC" w:rsidRDefault="00A42BCC" w:rsidP="00A42BCC"/>
    <w:p w14:paraId="5D846BB8" w14:textId="77777777" w:rsidR="00A42BCC" w:rsidRPr="00A42BCC" w:rsidRDefault="00A42BCC" w:rsidP="00A42BCC"/>
    <w:p w14:paraId="62461E39" w14:textId="77777777" w:rsidR="003B6122" w:rsidRPr="003B6122" w:rsidRDefault="003B6122" w:rsidP="003B6122"/>
    <w:sectPr w:rsidR="003B6122" w:rsidRPr="003B6122" w:rsidSect="008B5EB4">
      <w:footerReference w:type="default" r:id="rId14"/>
      <w:pgSz w:w="11906" w:h="16838"/>
      <w:pgMar w:top="1440" w:right="1800" w:bottom="1440" w:left="180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02E19" w14:textId="77777777" w:rsidR="005268AA" w:rsidRDefault="005268AA" w:rsidP="00912F93">
      <w:r>
        <w:separator/>
      </w:r>
    </w:p>
  </w:endnote>
  <w:endnote w:type="continuationSeparator" w:id="0">
    <w:p w14:paraId="4FC1BB51" w14:textId="77777777" w:rsidR="005268AA" w:rsidRDefault="005268AA" w:rsidP="00912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altName w:val="Microsoft YaHei"/>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106472"/>
      <w:docPartObj>
        <w:docPartGallery w:val="Page Numbers (Bottom of Page)"/>
        <w:docPartUnique/>
      </w:docPartObj>
    </w:sdtPr>
    <w:sdtEndPr/>
    <w:sdtContent>
      <w:p w14:paraId="0CBF6944" w14:textId="5731654C" w:rsidR="008B5EB4" w:rsidRDefault="008B5EB4">
        <w:pPr>
          <w:pStyle w:val="af0"/>
          <w:jc w:val="center"/>
        </w:pPr>
        <w:r>
          <w:fldChar w:fldCharType="begin"/>
        </w:r>
        <w:r>
          <w:instrText>PAGE   \* MERGEFORMAT</w:instrText>
        </w:r>
        <w:r>
          <w:fldChar w:fldCharType="separate"/>
        </w:r>
        <w:r>
          <w:rPr>
            <w:lang w:val="zh-TW"/>
          </w:rPr>
          <w:t>2</w:t>
        </w:r>
        <w:r>
          <w:fldChar w:fldCharType="end"/>
        </w:r>
      </w:p>
    </w:sdtContent>
  </w:sdt>
  <w:p w14:paraId="6A2728C1" w14:textId="77777777" w:rsidR="008B5EB4" w:rsidRDefault="008B5EB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997F1" w14:textId="77777777" w:rsidR="005268AA" w:rsidRDefault="005268AA" w:rsidP="00912F93">
      <w:r>
        <w:separator/>
      </w:r>
    </w:p>
  </w:footnote>
  <w:footnote w:type="continuationSeparator" w:id="0">
    <w:p w14:paraId="3CA5808E" w14:textId="77777777" w:rsidR="005268AA" w:rsidRDefault="005268AA" w:rsidP="00912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40E32"/>
    <w:multiLevelType w:val="multilevel"/>
    <w:tmpl w:val="A49A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393BFF"/>
    <w:multiLevelType w:val="multilevel"/>
    <w:tmpl w:val="EA8C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813549">
    <w:abstractNumId w:val="1"/>
  </w:num>
  <w:num w:numId="2" w16cid:durableId="1237352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98F"/>
    <w:rsid w:val="00013F31"/>
    <w:rsid w:val="000926E4"/>
    <w:rsid w:val="001037DD"/>
    <w:rsid w:val="001220F8"/>
    <w:rsid w:val="00122EC6"/>
    <w:rsid w:val="00141F42"/>
    <w:rsid w:val="001458A2"/>
    <w:rsid w:val="00183F35"/>
    <w:rsid w:val="00192580"/>
    <w:rsid w:val="001B1723"/>
    <w:rsid w:val="001B274E"/>
    <w:rsid w:val="001B6535"/>
    <w:rsid w:val="001B7B95"/>
    <w:rsid w:val="001C0F4B"/>
    <w:rsid w:val="001D211D"/>
    <w:rsid w:val="001E0939"/>
    <w:rsid w:val="001E2AE0"/>
    <w:rsid w:val="001F209A"/>
    <w:rsid w:val="001F66FF"/>
    <w:rsid w:val="001F69A3"/>
    <w:rsid w:val="001F7391"/>
    <w:rsid w:val="00222E11"/>
    <w:rsid w:val="00237809"/>
    <w:rsid w:val="00242615"/>
    <w:rsid w:val="00243AF7"/>
    <w:rsid w:val="00246993"/>
    <w:rsid w:val="0027288C"/>
    <w:rsid w:val="00296AF4"/>
    <w:rsid w:val="002C5FFA"/>
    <w:rsid w:val="00310C8B"/>
    <w:rsid w:val="0039285E"/>
    <w:rsid w:val="003978CD"/>
    <w:rsid w:val="003A5B5C"/>
    <w:rsid w:val="003B0189"/>
    <w:rsid w:val="003B6122"/>
    <w:rsid w:val="003C2BA0"/>
    <w:rsid w:val="003C393A"/>
    <w:rsid w:val="003D0CFE"/>
    <w:rsid w:val="003E3CA0"/>
    <w:rsid w:val="00412980"/>
    <w:rsid w:val="00420073"/>
    <w:rsid w:val="00431F69"/>
    <w:rsid w:val="00461290"/>
    <w:rsid w:val="00461EB6"/>
    <w:rsid w:val="004634CD"/>
    <w:rsid w:val="00475CB7"/>
    <w:rsid w:val="004A3084"/>
    <w:rsid w:val="004B6463"/>
    <w:rsid w:val="004D0231"/>
    <w:rsid w:val="004D1E88"/>
    <w:rsid w:val="004F7112"/>
    <w:rsid w:val="0052187B"/>
    <w:rsid w:val="005268AA"/>
    <w:rsid w:val="00567F2E"/>
    <w:rsid w:val="005864A3"/>
    <w:rsid w:val="00597177"/>
    <w:rsid w:val="005C00F1"/>
    <w:rsid w:val="005C6D14"/>
    <w:rsid w:val="00607416"/>
    <w:rsid w:val="00622888"/>
    <w:rsid w:val="00634464"/>
    <w:rsid w:val="0064243C"/>
    <w:rsid w:val="00664BBC"/>
    <w:rsid w:val="0069049B"/>
    <w:rsid w:val="006A36F5"/>
    <w:rsid w:val="006B10B2"/>
    <w:rsid w:val="006B6337"/>
    <w:rsid w:val="006D5844"/>
    <w:rsid w:val="00712ABE"/>
    <w:rsid w:val="00730652"/>
    <w:rsid w:val="0074208A"/>
    <w:rsid w:val="00757BDD"/>
    <w:rsid w:val="00774E9D"/>
    <w:rsid w:val="0077680D"/>
    <w:rsid w:val="00792764"/>
    <w:rsid w:val="007C66B0"/>
    <w:rsid w:val="007C683D"/>
    <w:rsid w:val="007E08C3"/>
    <w:rsid w:val="007E170C"/>
    <w:rsid w:val="007F49F4"/>
    <w:rsid w:val="007F4BFC"/>
    <w:rsid w:val="007F5B59"/>
    <w:rsid w:val="00825EE5"/>
    <w:rsid w:val="00844D0A"/>
    <w:rsid w:val="00864E60"/>
    <w:rsid w:val="00870945"/>
    <w:rsid w:val="00875450"/>
    <w:rsid w:val="00893BCB"/>
    <w:rsid w:val="008B5EB4"/>
    <w:rsid w:val="008C398F"/>
    <w:rsid w:val="008C68FC"/>
    <w:rsid w:val="008E4C84"/>
    <w:rsid w:val="009055E6"/>
    <w:rsid w:val="00912F93"/>
    <w:rsid w:val="009661FB"/>
    <w:rsid w:val="009804B6"/>
    <w:rsid w:val="009B77F7"/>
    <w:rsid w:val="009C32BD"/>
    <w:rsid w:val="00A04496"/>
    <w:rsid w:val="00A115FA"/>
    <w:rsid w:val="00A209DF"/>
    <w:rsid w:val="00A263FD"/>
    <w:rsid w:val="00A42BCC"/>
    <w:rsid w:val="00A613AE"/>
    <w:rsid w:val="00A73004"/>
    <w:rsid w:val="00A85092"/>
    <w:rsid w:val="00A85C30"/>
    <w:rsid w:val="00A94152"/>
    <w:rsid w:val="00AA18A3"/>
    <w:rsid w:val="00AB33CC"/>
    <w:rsid w:val="00AE4BC6"/>
    <w:rsid w:val="00AE4E70"/>
    <w:rsid w:val="00AE7817"/>
    <w:rsid w:val="00B03D88"/>
    <w:rsid w:val="00B52170"/>
    <w:rsid w:val="00B66033"/>
    <w:rsid w:val="00B72482"/>
    <w:rsid w:val="00B958B8"/>
    <w:rsid w:val="00B96BAF"/>
    <w:rsid w:val="00BB1FA2"/>
    <w:rsid w:val="00BE0A69"/>
    <w:rsid w:val="00BE797A"/>
    <w:rsid w:val="00BF49BD"/>
    <w:rsid w:val="00BF69F2"/>
    <w:rsid w:val="00C12533"/>
    <w:rsid w:val="00C344E2"/>
    <w:rsid w:val="00C372B4"/>
    <w:rsid w:val="00C60A69"/>
    <w:rsid w:val="00C64E7C"/>
    <w:rsid w:val="00C66D49"/>
    <w:rsid w:val="00C76C72"/>
    <w:rsid w:val="00C857BB"/>
    <w:rsid w:val="00C86445"/>
    <w:rsid w:val="00CE0C94"/>
    <w:rsid w:val="00CF3161"/>
    <w:rsid w:val="00D725D9"/>
    <w:rsid w:val="00DB3F4A"/>
    <w:rsid w:val="00DC4F0C"/>
    <w:rsid w:val="00DE56E9"/>
    <w:rsid w:val="00DF18CF"/>
    <w:rsid w:val="00DF2868"/>
    <w:rsid w:val="00E02739"/>
    <w:rsid w:val="00E6166E"/>
    <w:rsid w:val="00E72624"/>
    <w:rsid w:val="00E809B3"/>
    <w:rsid w:val="00E8228B"/>
    <w:rsid w:val="00EB2E0F"/>
    <w:rsid w:val="00EB60C1"/>
    <w:rsid w:val="00EC54F7"/>
    <w:rsid w:val="00EC7A07"/>
    <w:rsid w:val="00ED46F9"/>
    <w:rsid w:val="00EF77ED"/>
    <w:rsid w:val="00F8133E"/>
    <w:rsid w:val="00F84830"/>
    <w:rsid w:val="00FA0ECD"/>
    <w:rsid w:val="00FA190F"/>
    <w:rsid w:val="00FA24DE"/>
    <w:rsid w:val="0E6C3632"/>
    <w:rsid w:val="1690FBC4"/>
    <w:rsid w:val="230E85E7"/>
    <w:rsid w:val="5DD45364"/>
    <w:rsid w:val="69418510"/>
    <w:rsid w:val="6FA50020"/>
    <w:rsid w:val="75BCAC3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B4C67"/>
  <w15:chartTrackingRefBased/>
  <w15:docId w15:val="{BC00C6E0-23A3-4FC9-A32B-346E3B512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zh-TW" w:eastAsia="zh-TW" w:bidi="ar-SA"/>
        <w14:ligatures w14:val="standardContextual"/>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2F93"/>
    <w:pPr>
      <w:spacing w:before="0" w:after="0" w:line="360" w:lineRule="auto"/>
      <w:contextualSpacing/>
    </w:pPr>
    <w:rPr>
      <w:rFonts w:ascii="Times New Roman" w:eastAsia="標楷體" w:hAnsi="Times New Roman"/>
      <w:lang w:val="en-US"/>
    </w:rPr>
  </w:style>
  <w:style w:type="paragraph" w:styleId="1">
    <w:name w:val="heading 1"/>
    <w:basedOn w:val="a"/>
    <w:next w:val="a"/>
    <w:link w:val="10"/>
    <w:uiPriority w:val="9"/>
    <w:qFormat/>
    <w:rsid w:val="00BF49BD"/>
    <w:pPr>
      <w:outlineLvl w:val="0"/>
    </w:pPr>
    <w:rPr>
      <w:b/>
      <w:bCs/>
      <w:sz w:val="40"/>
      <w:szCs w:val="40"/>
    </w:rPr>
  </w:style>
  <w:style w:type="paragraph" w:styleId="2">
    <w:name w:val="heading 2"/>
    <w:basedOn w:val="a"/>
    <w:next w:val="a"/>
    <w:link w:val="20"/>
    <w:uiPriority w:val="9"/>
    <w:unhideWhenUsed/>
    <w:qFormat/>
    <w:rsid w:val="00A73004"/>
    <w:pPr>
      <w:outlineLvl w:val="1"/>
    </w:pPr>
    <w:rPr>
      <w:b/>
      <w:bCs/>
      <w:sz w:val="28"/>
      <w:szCs w:val="28"/>
    </w:rPr>
  </w:style>
  <w:style w:type="paragraph" w:styleId="3">
    <w:name w:val="heading 3"/>
    <w:basedOn w:val="a"/>
    <w:next w:val="a"/>
    <w:link w:val="30"/>
    <w:uiPriority w:val="9"/>
    <w:unhideWhenUsed/>
    <w:qFormat/>
    <w:rsid w:val="001B6535"/>
    <w:pPr>
      <w:outlineLvl w:val="2"/>
    </w:pPr>
    <w:rPr>
      <w:b/>
      <w:bCs/>
    </w:rPr>
  </w:style>
  <w:style w:type="paragraph" w:styleId="4">
    <w:name w:val="heading 4"/>
    <w:basedOn w:val="a"/>
    <w:next w:val="a"/>
    <w:link w:val="40"/>
    <w:uiPriority w:val="9"/>
    <w:semiHidden/>
    <w:unhideWhenUsed/>
    <w:qFormat/>
    <w:rsid w:val="008C398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C39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C398F"/>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C398F"/>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398F"/>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C398F"/>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F49BD"/>
    <w:rPr>
      <w:rFonts w:ascii="Times New Roman" w:eastAsia="標楷體" w:hAnsi="Times New Roman"/>
      <w:b/>
      <w:bCs/>
      <w:sz w:val="40"/>
      <w:szCs w:val="40"/>
      <w:lang w:val="en-US"/>
    </w:rPr>
  </w:style>
  <w:style w:type="character" w:customStyle="1" w:styleId="20">
    <w:name w:val="標題 2 字元"/>
    <w:basedOn w:val="a0"/>
    <w:link w:val="2"/>
    <w:uiPriority w:val="9"/>
    <w:rsid w:val="00A73004"/>
    <w:rPr>
      <w:rFonts w:ascii="Times New Roman" w:eastAsia="標楷體" w:hAnsi="Times New Roman"/>
      <w:b/>
      <w:bCs/>
      <w:sz w:val="28"/>
      <w:szCs w:val="28"/>
      <w:lang w:val="en-US"/>
    </w:rPr>
  </w:style>
  <w:style w:type="character" w:customStyle="1" w:styleId="30">
    <w:name w:val="標題 3 字元"/>
    <w:basedOn w:val="a0"/>
    <w:link w:val="3"/>
    <w:uiPriority w:val="9"/>
    <w:rsid w:val="001B6535"/>
    <w:rPr>
      <w:rFonts w:ascii="Times New Roman" w:eastAsia="標楷體" w:hAnsi="Times New Roman"/>
      <w:b/>
      <w:bCs/>
      <w:lang w:val="en-US"/>
    </w:rPr>
  </w:style>
  <w:style w:type="character" w:customStyle="1" w:styleId="40">
    <w:name w:val="標題 4 字元"/>
    <w:basedOn w:val="a0"/>
    <w:link w:val="4"/>
    <w:uiPriority w:val="9"/>
    <w:semiHidden/>
    <w:rsid w:val="008C398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C398F"/>
    <w:rPr>
      <w:rFonts w:eastAsiaTheme="majorEastAsia" w:cstheme="majorBidi"/>
      <w:color w:val="0F4761" w:themeColor="accent1" w:themeShade="BF"/>
    </w:rPr>
  </w:style>
  <w:style w:type="character" w:customStyle="1" w:styleId="60">
    <w:name w:val="標題 6 字元"/>
    <w:basedOn w:val="a0"/>
    <w:link w:val="6"/>
    <w:uiPriority w:val="9"/>
    <w:semiHidden/>
    <w:rsid w:val="008C398F"/>
    <w:rPr>
      <w:rFonts w:eastAsiaTheme="majorEastAsia" w:cstheme="majorBidi"/>
      <w:color w:val="595959" w:themeColor="text1" w:themeTint="A6"/>
    </w:rPr>
  </w:style>
  <w:style w:type="character" w:customStyle="1" w:styleId="70">
    <w:name w:val="標題 7 字元"/>
    <w:basedOn w:val="a0"/>
    <w:link w:val="7"/>
    <w:uiPriority w:val="9"/>
    <w:semiHidden/>
    <w:rsid w:val="008C398F"/>
    <w:rPr>
      <w:rFonts w:eastAsiaTheme="majorEastAsia" w:cstheme="majorBidi"/>
      <w:color w:val="595959" w:themeColor="text1" w:themeTint="A6"/>
    </w:rPr>
  </w:style>
  <w:style w:type="character" w:customStyle="1" w:styleId="80">
    <w:name w:val="標題 8 字元"/>
    <w:basedOn w:val="a0"/>
    <w:link w:val="8"/>
    <w:uiPriority w:val="9"/>
    <w:semiHidden/>
    <w:rsid w:val="008C398F"/>
    <w:rPr>
      <w:rFonts w:eastAsiaTheme="majorEastAsia" w:cstheme="majorBidi"/>
      <w:color w:val="272727" w:themeColor="text1" w:themeTint="D8"/>
    </w:rPr>
  </w:style>
  <w:style w:type="character" w:customStyle="1" w:styleId="90">
    <w:name w:val="標題 9 字元"/>
    <w:basedOn w:val="a0"/>
    <w:link w:val="9"/>
    <w:uiPriority w:val="9"/>
    <w:semiHidden/>
    <w:rsid w:val="008C398F"/>
    <w:rPr>
      <w:rFonts w:eastAsiaTheme="majorEastAsia" w:cstheme="majorBidi"/>
      <w:color w:val="272727" w:themeColor="text1" w:themeTint="D8"/>
    </w:rPr>
  </w:style>
  <w:style w:type="paragraph" w:styleId="a3">
    <w:name w:val="Title"/>
    <w:basedOn w:val="a"/>
    <w:next w:val="a"/>
    <w:link w:val="a4"/>
    <w:uiPriority w:val="10"/>
    <w:qFormat/>
    <w:rsid w:val="008C398F"/>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C398F"/>
    <w:rPr>
      <w:rFonts w:asciiTheme="majorHAnsi" w:eastAsiaTheme="majorEastAsia" w:hAnsiTheme="majorHAnsi" w:cstheme="majorBidi"/>
      <w:spacing w:val="-10"/>
      <w:kern w:val="28"/>
      <w:sz w:val="56"/>
      <w:szCs w:val="56"/>
      <w:lang w:val="en-US"/>
    </w:rPr>
  </w:style>
  <w:style w:type="paragraph" w:styleId="a5">
    <w:name w:val="Subtitle"/>
    <w:basedOn w:val="a"/>
    <w:next w:val="a"/>
    <w:link w:val="a6"/>
    <w:uiPriority w:val="11"/>
    <w:qFormat/>
    <w:rsid w:val="008C398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C39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398F"/>
    <w:pPr>
      <w:spacing w:before="160" w:after="160"/>
      <w:jc w:val="center"/>
    </w:pPr>
    <w:rPr>
      <w:i/>
      <w:iCs/>
      <w:color w:val="404040" w:themeColor="text1" w:themeTint="BF"/>
    </w:rPr>
  </w:style>
  <w:style w:type="character" w:customStyle="1" w:styleId="a8">
    <w:name w:val="引文 字元"/>
    <w:basedOn w:val="a0"/>
    <w:link w:val="a7"/>
    <w:uiPriority w:val="29"/>
    <w:rsid w:val="008C398F"/>
    <w:rPr>
      <w:i/>
      <w:iCs/>
      <w:color w:val="404040" w:themeColor="text1" w:themeTint="BF"/>
    </w:rPr>
  </w:style>
  <w:style w:type="paragraph" w:styleId="a9">
    <w:name w:val="List Paragraph"/>
    <w:basedOn w:val="a"/>
    <w:uiPriority w:val="34"/>
    <w:qFormat/>
    <w:rsid w:val="008C398F"/>
    <w:pPr>
      <w:ind w:left="720"/>
    </w:pPr>
  </w:style>
  <w:style w:type="character" w:styleId="aa">
    <w:name w:val="Intense Emphasis"/>
    <w:basedOn w:val="a0"/>
    <w:uiPriority w:val="21"/>
    <w:qFormat/>
    <w:rsid w:val="008C398F"/>
    <w:rPr>
      <w:i/>
      <w:iCs/>
      <w:color w:val="0F4761" w:themeColor="accent1" w:themeShade="BF"/>
    </w:rPr>
  </w:style>
  <w:style w:type="paragraph" w:styleId="ab">
    <w:name w:val="Intense Quote"/>
    <w:basedOn w:val="a"/>
    <w:next w:val="a"/>
    <w:link w:val="ac"/>
    <w:uiPriority w:val="30"/>
    <w:qFormat/>
    <w:rsid w:val="008C3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C398F"/>
    <w:rPr>
      <w:i/>
      <w:iCs/>
      <w:color w:val="0F4761" w:themeColor="accent1" w:themeShade="BF"/>
    </w:rPr>
  </w:style>
  <w:style w:type="character" w:styleId="ad">
    <w:name w:val="Intense Reference"/>
    <w:basedOn w:val="a0"/>
    <w:uiPriority w:val="32"/>
    <w:qFormat/>
    <w:rsid w:val="008C398F"/>
    <w:rPr>
      <w:b/>
      <w:bCs/>
      <w:smallCaps/>
      <w:color w:val="0F4761" w:themeColor="accent1" w:themeShade="BF"/>
      <w:spacing w:val="5"/>
    </w:rPr>
  </w:style>
  <w:style w:type="paragraph" w:styleId="ae">
    <w:name w:val="header"/>
    <w:basedOn w:val="a"/>
    <w:link w:val="af"/>
    <w:uiPriority w:val="99"/>
    <w:unhideWhenUsed/>
    <w:rsid w:val="00B958B8"/>
    <w:pPr>
      <w:tabs>
        <w:tab w:val="center" w:pos="4153"/>
        <w:tab w:val="right" w:pos="8306"/>
      </w:tabs>
      <w:snapToGrid w:val="0"/>
    </w:pPr>
    <w:rPr>
      <w:sz w:val="20"/>
      <w:szCs w:val="20"/>
    </w:rPr>
  </w:style>
  <w:style w:type="character" w:customStyle="1" w:styleId="af">
    <w:name w:val="頁首 字元"/>
    <w:basedOn w:val="a0"/>
    <w:link w:val="ae"/>
    <w:uiPriority w:val="99"/>
    <w:rsid w:val="00B958B8"/>
    <w:rPr>
      <w:sz w:val="20"/>
      <w:szCs w:val="20"/>
    </w:rPr>
  </w:style>
  <w:style w:type="paragraph" w:styleId="af0">
    <w:name w:val="footer"/>
    <w:basedOn w:val="a"/>
    <w:link w:val="af1"/>
    <w:uiPriority w:val="99"/>
    <w:unhideWhenUsed/>
    <w:rsid w:val="00B958B8"/>
    <w:pPr>
      <w:tabs>
        <w:tab w:val="center" w:pos="4153"/>
        <w:tab w:val="right" w:pos="8306"/>
      </w:tabs>
      <w:snapToGrid w:val="0"/>
    </w:pPr>
    <w:rPr>
      <w:sz w:val="20"/>
      <w:szCs w:val="20"/>
    </w:rPr>
  </w:style>
  <w:style w:type="character" w:customStyle="1" w:styleId="af1">
    <w:name w:val="頁尾 字元"/>
    <w:basedOn w:val="a0"/>
    <w:link w:val="af0"/>
    <w:uiPriority w:val="99"/>
    <w:rsid w:val="00B958B8"/>
    <w:rPr>
      <w:sz w:val="20"/>
      <w:szCs w:val="20"/>
    </w:rPr>
  </w:style>
  <w:style w:type="character" w:styleId="af2">
    <w:name w:val="Hyperlink"/>
    <w:basedOn w:val="a0"/>
    <w:uiPriority w:val="99"/>
    <w:unhideWhenUsed/>
    <w:rsid w:val="00B958B8"/>
    <w:rPr>
      <w:color w:val="467886" w:themeColor="hyperlink"/>
      <w:u w:val="single"/>
    </w:rPr>
  </w:style>
  <w:style w:type="character" w:styleId="af3">
    <w:name w:val="Unresolved Mention"/>
    <w:basedOn w:val="a0"/>
    <w:uiPriority w:val="99"/>
    <w:semiHidden/>
    <w:unhideWhenUsed/>
    <w:rsid w:val="00B958B8"/>
    <w:rPr>
      <w:color w:val="605E5C"/>
      <w:shd w:val="clear" w:color="auto" w:fill="E1DFDD"/>
    </w:rPr>
  </w:style>
  <w:style w:type="paragraph" w:styleId="Web">
    <w:name w:val="Normal (Web)"/>
    <w:basedOn w:val="a"/>
    <w:uiPriority w:val="99"/>
    <w:semiHidden/>
    <w:unhideWhenUsed/>
    <w:rsid w:val="00EF77ED"/>
    <w:rPr>
      <w:rFonts w:cs="Times New Roman"/>
    </w:rPr>
  </w:style>
  <w:style w:type="character" w:styleId="af4">
    <w:name w:val="Placeholder Text"/>
    <w:basedOn w:val="a0"/>
    <w:uiPriority w:val="99"/>
    <w:semiHidden/>
    <w:rsid w:val="004A3084"/>
    <w:rPr>
      <w:color w:val="666666"/>
    </w:rPr>
  </w:style>
  <w:style w:type="paragraph" w:styleId="af5">
    <w:name w:val="TOC Heading"/>
    <w:basedOn w:val="1"/>
    <w:next w:val="a"/>
    <w:uiPriority w:val="39"/>
    <w:unhideWhenUsed/>
    <w:qFormat/>
    <w:rsid w:val="00412980"/>
    <w:pPr>
      <w:keepNext/>
      <w:keepLines/>
      <w:spacing w:before="240" w:line="259" w:lineRule="auto"/>
      <w:contextualSpacing w:val="0"/>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11">
    <w:name w:val="toc 1"/>
    <w:basedOn w:val="a"/>
    <w:next w:val="a"/>
    <w:autoRedefine/>
    <w:uiPriority w:val="39"/>
    <w:unhideWhenUsed/>
    <w:rsid w:val="00412980"/>
  </w:style>
  <w:style w:type="paragraph" w:styleId="21">
    <w:name w:val="toc 2"/>
    <w:basedOn w:val="a"/>
    <w:next w:val="a"/>
    <w:autoRedefine/>
    <w:uiPriority w:val="39"/>
    <w:unhideWhenUsed/>
    <w:rsid w:val="00412980"/>
    <w:pPr>
      <w:ind w:leftChars="200" w:left="480"/>
    </w:pPr>
  </w:style>
  <w:style w:type="paragraph" w:styleId="31">
    <w:name w:val="toc 3"/>
    <w:basedOn w:val="a"/>
    <w:next w:val="a"/>
    <w:autoRedefine/>
    <w:uiPriority w:val="39"/>
    <w:unhideWhenUsed/>
    <w:rsid w:val="00412980"/>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https://doi.org/10.1086/59308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q=https://doi.org/10.1016/0304-3932(84)90046-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doi.org/10.3390/risks1403004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9752C-1FBB-410A-B1C8-FDA79C60D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1113</Words>
  <Characters>6347</Characters>
  <Application>Microsoft Office Word</Application>
  <DocSecurity>0</DocSecurity>
  <Lines>52</Lines>
  <Paragraphs>14</Paragraphs>
  <ScaleCrop>false</ScaleCrop>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TONY</dc:creator>
  <cp:keywords/>
  <dc:description/>
  <cp:lastModifiedBy>HSU TONY</cp:lastModifiedBy>
  <cp:revision>110</cp:revision>
  <cp:lastPrinted>2026-06-11T06:15:00Z</cp:lastPrinted>
  <dcterms:created xsi:type="dcterms:W3CDTF">2026-06-11T19:29:00Z</dcterms:created>
  <dcterms:modified xsi:type="dcterms:W3CDTF">2026-06-11T06:16:00Z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7e53b639-e021-4bb9-b969-f436f3d53804</vt:lpwstr>
  </property>
</Properties>
</file>