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chemokines"/>
      <w:r>
        <w:t xml:space="preserve">Chemokines</w:t>
      </w:r>
      <w:bookmarkEnd w:id="21"/>
    </w:p>
    <w:p>
      <w:pPr>
        <w:pStyle w:val="Heading3"/>
      </w:pPr>
      <w:bookmarkStart w:id="22" w:name="cx3cl1"/>
      <w:r>
        <w:t xml:space="preserve">CX3CL1</w:t>
      </w:r>
      <w:bookmarkEnd w:id="22"/>
    </w:p>
    <w:p>
      <w:pPr>
        <w:pStyle w:val="Heading3"/>
      </w:pPr>
      <w:bookmarkStart w:id="23" w:name="cxcl12"/>
      <w:r>
        <w:t xml:space="preserve">CXCL12</w:t>
      </w:r>
      <w:bookmarkEnd w:id="23"/>
    </w:p>
    <w:p>
      <w:pPr>
        <w:pStyle w:val="Heading2"/>
      </w:pPr>
      <w:bookmarkStart w:id="24" w:name="amygdala"/>
      <w:r>
        <w:t xml:space="preserve">Amygdala</w:t>
      </w:r>
      <w:bookmarkEnd w:id="24"/>
    </w:p>
    <w:p>
      <w:pPr>
        <w:pStyle w:val="Heading3"/>
      </w:pPr>
      <w:bookmarkStart w:id="25" w:name="basolateral-amygdala"/>
      <w:r>
        <w:t xml:space="preserve">Basolateral amygdala</w:t>
      </w:r>
      <w:bookmarkEnd w:id="25"/>
    </w:p>
    <w:p>
      <w:pPr>
        <w:pStyle w:val="Heading3"/>
      </w:pPr>
      <w:bookmarkStart w:id="26" w:name="central-amygdala"/>
      <w:r>
        <w:t xml:space="preserve">Central amygdala</w:t>
      </w:r>
      <w:bookmarkEnd w:id="26"/>
    </w:p>
    <w:p>
      <w:pPr>
        <w:pStyle w:val="Heading2"/>
      </w:pPr>
      <w:bookmarkStart w:id="27" w:name="neuro-glial-interactions"/>
      <w:r>
        <w:t xml:space="preserve">Neuro-glial interactions</w:t>
      </w:r>
      <w:bookmarkEnd w:id="27"/>
    </w:p>
    <w:p>
      <w:pPr>
        <w:pStyle w:val="Heading1"/>
      </w:pPr>
      <w:bookmarkStart w:id="28" w:name="aim-of-the-study"/>
      <w:r>
        <w:t xml:space="preserve">Aim of the study</w:t>
      </w:r>
      <w:bookmarkEnd w:id="28"/>
    </w:p>
    <w:p>
      <w:pPr>
        <w:pStyle w:val="FirstParagraph"/>
      </w:pPr>
      <w:r>
        <w:t xml:space="preserve">Considering described evidence and proposed hypotheses the present studies were focused on two separate but physiologically and functionally related subjects:</w:t>
      </w:r>
    </w:p>
    <w:p>
      <w:pPr>
        <w:numPr>
          <w:numId w:val="1001"/>
          <w:ilvl w:val="0"/>
        </w:numPr>
      </w:pPr>
      <w:r>
        <w:t xml:space="preserve">Investigation of …</w:t>
      </w:r>
    </w:p>
    <w:p>
      <w:pPr>
        <w:numPr>
          <w:numId w:val="1001"/>
          <w:ilvl w:val="0"/>
        </w:numPr>
      </w:pPr>
      <w:r>
        <w:t xml:space="preserve">Investigatation of …</w:t>
      </w:r>
    </w:p>
    <w:p>
      <w:pPr>
        <w:pStyle w:val="FirstParagraph"/>
      </w:pPr>
      <w:r>
        <w:t xml:space="preserve">To address these issues several research techniques were employed: whole-cell patch-clamp and extracellular recordings ex vivo, immunofluorescent and immunohistochemical staining and …</w:t>
      </w:r>
    </w:p>
    <w:p>
      <w:pPr>
        <w:pStyle w:val="BodyText"/>
      </w:pPr>
      <w:r>
        <w:t xml:space="preserve">Detailed research objectives addressed in each study, as well as techniques used are listed below:</w:t>
      </w:r>
    </w:p>
    <w:p>
      <w:pPr>
        <w:pStyle w:val="Heading1"/>
      </w:pPr>
      <w:bookmarkStart w:id="29" w:name="materials-and-methods"/>
      <w:r>
        <w:t xml:space="preserve">Materials and methods</w:t>
      </w:r>
      <w:bookmarkEnd w:id="29"/>
    </w:p>
    <w:p>
      <w:pPr>
        <w:pStyle w:val="Heading2"/>
      </w:pPr>
      <w:bookmarkStart w:id="30" w:name="general"/>
      <w:r>
        <w:t xml:space="preserve">General</w:t>
      </w:r>
      <w:bookmarkEnd w:id="30"/>
    </w:p>
    <w:p>
      <w:pPr>
        <w:pStyle w:val="Heading3"/>
      </w:pPr>
      <w:bookmarkStart w:id="31" w:name="ethic-approval"/>
      <w:r>
        <w:t xml:space="preserve">Ethic approval</w:t>
      </w:r>
      <w:bookmarkEnd w:id="31"/>
    </w:p>
    <w:p>
      <w:pPr>
        <w:pStyle w:val="Heading3"/>
      </w:pPr>
      <w:bookmarkStart w:id="32" w:name="reagents"/>
      <w:r>
        <w:t xml:space="preserve">Reagents</w:t>
      </w:r>
      <w:bookmarkEnd w:id="32"/>
    </w:p>
    <w:p>
      <w:pPr>
        <w:pStyle w:val="Heading2"/>
      </w:pPr>
      <w:bookmarkStart w:id="33" w:name="X5bb4089cf7fe3946f0f23f55761918a4525c02c"/>
      <w:r>
        <w:t xml:space="preserve">Whole-cell patch-clamp technique in acute brain slices</w:t>
      </w:r>
      <w:bookmarkEnd w:id="33"/>
    </w:p>
    <w:p>
      <w:pPr>
        <w:pStyle w:val="Heading3"/>
      </w:pPr>
      <w:bookmarkStart w:id="34" w:name="tissue-preparation"/>
      <w:r>
        <w:t xml:space="preserve">Tissue Preparation</w:t>
      </w:r>
      <w:bookmarkEnd w:id="34"/>
    </w:p>
    <w:p>
      <w:pPr>
        <w:pStyle w:val="Heading3"/>
      </w:pPr>
      <w:bookmarkStart w:id="35" w:name="X60c7cc2fd01bbffc69b3e55cec966762c5cba5f"/>
      <w:r>
        <w:t xml:space="preserve">Whole-cell patch-clamp recordings and data acquisition</w:t>
      </w:r>
      <w:bookmarkEnd w:id="35"/>
    </w:p>
    <w:p>
      <w:pPr>
        <w:pStyle w:val="Heading3"/>
      </w:pPr>
      <w:bookmarkStart w:id="36" w:name="post-recording-immunostaining"/>
      <w:r>
        <w:t xml:space="preserve">Post-recording immunostaining</w:t>
      </w:r>
      <w:bookmarkEnd w:id="36"/>
    </w:p>
    <w:p>
      <w:pPr>
        <w:pStyle w:val="Heading3"/>
      </w:pPr>
      <w:bookmarkStart w:id="37" w:name="Xd0452f9e86b0e02d4dfb9c3849278e532ca7dd8"/>
      <w:r>
        <w:t xml:space="preserve">Electrophysiological identification and classification of chosen neurons</w:t>
      </w:r>
      <w:bookmarkEnd w:id="37"/>
    </w:p>
    <w:p>
      <w:pPr>
        <w:pStyle w:val="Heading4"/>
      </w:pPr>
      <w:bookmarkStart w:id="38" w:name="X6389cd69a6f57129307e65884950b02478b46b7"/>
      <w:r>
        <w:t xml:space="preserve">Electrophysiological identification of principal cells in the BLA</w:t>
      </w:r>
      <w:bookmarkEnd w:id="38"/>
    </w:p>
    <w:p>
      <w:pPr>
        <w:pStyle w:val="Heading4"/>
      </w:pPr>
      <w:bookmarkStart w:id="39" w:name="X3401ef8d660ec15a87dda6bc5ce301437bd6544"/>
      <w:r>
        <w:t xml:space="preserve">Electrophysiological identification of late-firing cells in the CeA</w:t>
      </w:r>
      <w:bookmarkEnd w:id="39"/>
    </w:p>
    <w:p>
      <w:pPr>
        <w:pStyle w:val="Heading4"/>
      </w:pPr>
      <w:bookmarkStart w:id="40" w:name="X49c13fdbf09402117151369c83d3b1835f2fd03"/>
      <w:r>
        <w:t xml:space="preserve">Electrophysiological identification of regular-firing cells in the CeA</w:t>
      </w:r>
      <w:bookmarkEnd w:id="40"/>
    </w:p>
    <w:p>
      <w:pPr>
        <w:pStyle w:val="Heading1"/>
      </w:pPr>
      <w:bookmarkStart w:id="41" w:name="results"/>
      <w:r>
        <w:t xml:space="preserve">Results</w:t>
      </w:r>
      <w:bookmarkEnd w:id="41"/>
    </w:p>
    <w:p>
      <w:pPr>
        <w:pStyle w:val="Heading1"/>
      </w:pPr>
      <w:bookmarkStart w:id="42" w:name="discussion"/>
      <w:r>
        <w:t xml:space="preserve">Discussion</w:t>
      </w:r>
      <w:bookmarkEnd w:id="42"/>
    </w:p>
    <w:p>
      <w:pPr>
        <w:pStyle w:val="Heading1"/>
      </w:pPr>
      <w:bookmarkStart w:id="43" w:name="conclusions"/>
      <w:r>
        <w:t xml:space="preserve">Conclusions</w:t>
      </w:r>
      <w:bookmarkEnd w:id="43"/>
    </w:p>
    <w:p>
      <w:r>
        <w:br w:type="page"/>
      </w:r>
    </w:p>
    <w:p>
      <w:pPr>
        <w:pStyle w:val="Heading1"/>
      </w:pPr>
      <w:bookmarkStart w:id="44" w:name="appendix"/>
      <w:r>
        <w:t xml:space="preserve">Appendix</w:t>
      </w:r>
      <w:bookmarkEnd w:id="44"/>
    </w:p>
    <w:p>
      <w:pPr>
        <w:pStyle w:val="Heading1"/>
      </w:pPr>
      <w:bookmarkStart w:id="45" w:name="references"/>
      <w:r>
        <w:t xml:space="preserve">References</w:t>
      </w:r>
      <w:bookmarkEnd w:id="4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2020-03-30T13:19:43Z</dcterms:created>
  <dcterms:modified xsi:type="dcterms:W3CDTF">2020-03-30T13:19:43Z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thesis2.bib</vt:lpwstr>
  </property>
  <property fmtid="{D5CDD505-2E9C-101B-9397-08002B2CF9AE}" pid="3" name="csl">
    <vt:lpwstr>apa_numeric.csl</vt:lpwstr>
  </property>
  <property fmtid="{D5CDD505-2E9C-101B-9397-08002B2CF9AE}" pid="4" name="fontsize">
    <vt:lpwstr>12pt</vt:lpwstr>
  </property>
  <property fmtid="{D5CDD505-2E9C-101B-9397-08002B2CF9AE}" pid="5" name="geometry">
    <vt:lpwstr>margin = 1.2in</vt:lpwstr>
  </property>
  <property fmtid="{D5CDD505-2E9C-101B-9397-08002B2CF9AE}" pid="6" name="header-includes">
    <vt:lpwstr/>
  </property>
  <property fmtid="{D5CDD505-2E9C-101B-9397-08002B2CF9AE}" pid="7" name="linkcolor">
    <vt:lpwstr>black</vt:lpwstr>
  </property>
  <property fmtid="{D5CDD505-2E9C-101B-9397-08002B2CF9AE}" pid="8" name="nocite">
    <vt:lpwstr>@Example1999, @Example2000</vt:lpwstr>
  </property>
  <property fmtid="{D5CDD505-2E9C-101B-9397-08002B2CF9AE}" pid="9" name="output">
    <vt:lpwstr/>
  </property>
  <property fmtid="{D5CDD505-2E9C-101B-9397-08002B2CF9AE}" pid="10" name="urlcolor">
    <vt:lpwstr>black</vt:lpwstr>
  </property>
</Properties>
</file>