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F3964"/>
          <w:sz w:val="28"/>
        </w:rPr>
        <w:t>KẾT QUẢ THỰC TIỄN THẨM QUYỀN GIÁM ĐỐC THẨM THEO ĐIỀU 382 BLTTDS 2015 (SỬA ĐỔI, BỔ SUNG 2025)</w:t>
      </w:r>
    </w:p>
    <w:p>
      <w:pPr>
        <w:spacing w:after="120"/>
        <w:ind w:left="567"/>
        <w:jc w:val="both"/>
      </w:pPr>
      <w:r>
        <w:rPr>
          <w:rFonts w:ascii="Times New Roman" w:hAnsi="Times New Roman"/>
          <w:i/>
          <w:color w:val="105088"/>
          <w:sz w:val="24"/>
        </w:rPr>
      </w:r>
      <w:r>
        <w:rPr>
          <w:rFonts w:ascii="Times New Roman" w:hAnsi="Times New Roman"/>
          <w:b/>
          <w:color w:val="105088"/>
          <w:sz w:val="24"/>
        </w:rPr>
        <w:t>Nguồn số liệu:</w:t>
      </w:r>
      <w:r>
        <w:rPr>
          <w:rFonts w:ascii="Times New Roman" w:hAnsi="Times New Roman"/>
          <w:color w:val="105088"/>
          <w:sz w:val="24"/>
        </w:rPr>
        <w:t xml:space="preserve"> Thống kê thụ lý và giải quyết các vụ án hình sự giám đốc thẩm do cá nhân phạm tội – Tòa án nhân dân tối cao, giai đoạn 2020–2025 (Mẫu 1C).</w:t>
      </w:r>
    </w:p>
    <w:p>
      <w:pPr>
        <w:spacing w:before="240" w:after="120"/>
      </w:pPr>
      <w:r>
        <w:rPr>
          <w:b/>
          <w:color w:val="1F3964"/>
          <w:sz w:val="26"/>
        </w:rPr>
        <w:t>I. BẢNG TỔNG HỢP SỐ LIỆU GIÁM ĐỐC THẨM TẠI TAND TỐI CAO (2021–2025)</w:t>
      </w:r>
    </w:p>
    <w:p>
      <w:pPr>
        <w:spacing w:before="240" w:after="120"/>
      </w:pPr>
      <w:r>
        <w:rPr>
          <w:b/>
          <w:color w:val="2E75B6"/>
          <w:sz w:val="26"/>
        </w:rPr>
        <w:t>Bảng 1. Tình hình thụ lý vụ án giám đốc thẩm</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left"/>
            </w:pPr>
            <w:r/>
            <w:r>
              <w:rPr>
                <w:rFonts w:ascii="Times New Roman" w:hAnsi="Times New Roman"/>
                <w:b/>
                <w:color w:val="FFFFFF"/>
                <w:sz w:val="24"/>
              </w:rPr>
              <w:t>Năm</w:t>
            </w:r>
          </w:p>
        </w:tc>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Cũ còn lại (vụ)</w:t>
            </w:r>
          </w:p>
        </w:tc>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Mới thụ lý – Chánh án KN (vụ)</w:t>
            </w:r>
          </w:p>
        </w:tc>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Mới thụ lý – Viện trưởng KN (vụ)</w:t>
            </w:r>
          </w:p>
        </w:tc>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Tổng số phải giải quyết (vụ)</w:t>
            </w:r>
          </w:p>
        </w:tc>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Tổng số bị cáo phải giải quyết</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sz w:val="24"/>
              </w:rPr>
              <w:t>2021</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4</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28</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44</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4"/>
              </w:rPr>
              <w:t>87</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4"/>
              </w:rPr>
              <w:t>179</w:t>
            </w:r>
          </w:p>
        </w:tc>
      </w:tr>
      <w:tr>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val="0"/>
                <w:sz w:val="24"/>
              </w:rPr>
              <w:t>2022</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2</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4</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18</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56</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98</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sz w:val="24"/>
              </w:rPr>
              <w:t>2023</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11</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9</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4"/>
              </w:rPr>
              <w:t>36</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4"/>
              </w:rPr>
              <w:t>60</w:t>
            </w:r>
          </w:p>
        </w:tc>
      </w:tr>
      <w:tr>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val="0"/>
                <w:sz w:val="24"/>
              </w:rPr>
              <w:t>2024</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14</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11</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30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76</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sz w:val="24"/>
              </w:rPr>
              <w:t>2025</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5</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12</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4"/>
              </w:rPr>
              <w:t>23</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4"/>
              </w:rPr>
              <w:t>39</w:t>
            </w:r>
          </w:p>
        </w:tc>
      </w:tr>
    </w:tbl>
    <w:p/>
    <w:p>
      <w:pPr>
        <w:spacing w:before="240" w:after="120"/>
      </w:pPr>
      <w:r>
        <w:rPr>
          <w:b/>
          <w:color w:val="2E75B6"/>
          <w:sz w:val="26"/>
        </w:rPr>
        <w:t>Bảng 2. Tình hình giải quyết vụ án giám đốc thẩm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4" w:space="0" w:color="000000"/>
              <w:left w:val="single" w:sz="4" w:space="0" w:color="000000"/>
              <w:bottom w:val="single" w:sz="4" w:space="0" w:color="000000"/>
              <w:right w:val="single" w:sz="4" w:space="0" w:color="000000"/>
            </w:tcBorders>
            <w:shd w:val="clear" w:color="auto" w:fill="1F3964"/>
          </w:tcPr>
          <w:p>
            <w:pPr>
              <w:jc w:val="left"/>
            </w:pPr>
            <w:r/>
            <w:r>
              <w:rPr>
                <w:rFonts w:ascii="Times New Roman" w:hAnsi="Times New Roman"/>
                <w:b/>
                <w:color w:val="FFFFFF"/>
                <w:sz w:val="24"/>
              </w:rPr>
              <w:t>Năm</w:t>
            </w:r>
          </w:p>
        </w:tc>
        <w:tc>
          <w:tcPr>
            <w:tcW w:type="dxa" w:w="188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Số vụ đã xét xử (tổng)</w:t>
            </w:r>
          </w:p>
        </w:tc>
        <w:tc>
          <w:tcPr>
            <w:tcW w:type="dxa" w:w="188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Số vụ còn lại</w:t>
            </w:r>
          </w:p>
        </w:tc>
        <w:tc>
          <w:tcPr>
            <w:tcW w:type="dxa" w:w="188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Tỷ lệ giải quyết (%)</w:t>
            </w:r>
          </w:p>
        </w:tc>
        <w:tc>
          <w:tcPr>
            <w:tcW w:type="dxa" w:w="188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Số vụ quá hạn</w:t>
            </w:r>
          </w:p>
        </w:tc>
      </w:tr>
      <w:tr>
        <w:tc>
          <w:tcPr>
            <w:tcW w:type="dxa" w:w="18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sz w:val="24"/>
              </w:rPr>
              <w:t>2021</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53</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34</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4"/>
              </w:rPr>
              <w:t>60,9%</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r>
      <w:tr>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val="0"/>
                <w:sz w:val="24"/>
              </w:rPr>
              <w:t>2022</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40</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16</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71,4%</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r>
      <w:tr>
        <w:tc>
          <w:tcPr>
            <w:tcW w:type="dxa" w:w="18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sz w:val="24"/>
              </w:rPr>
              <w:t>2023</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31</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5</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4"/>
              </w:rPr>
              <w:t>86,1%</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r>
      <w:tr>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val="0"/>
                <w:sz w:val="24"/>
              </w:rPr>
              <w:t>2024</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24</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6</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80,0%</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r>
      <w:tr>
        <w:tc>
          <w:tcPr>
            <w:tcW w:type="dxa" w:w="18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sz w:val="24"/>
              </w:rPr>
              <w:t>2025</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21</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2</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4"/>
              </w:rPr>
              <w:t>91,3%</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r>
    </w:tbl>
    <w:p/>
    <w:p>
      <w:pPr>
        <w:spacing w:after="120"/>
        <w:ind w:left="567"/>
        <w:jc w:val="both"/>
      </w:pPr>
      <w:r>
        <w:rPr>
          <w:rFonts w:ascii="Times New Roman" w:hAnsi="Times New Roman"/>
          <w:i/>
          <w:color w:val="105088"/>
          <w:sz w:val="24"/>
        </w:rPr>
        <w:t>*Ghi chú: Tỷ lệ giải quyết = Tổng vụ đã xét xử / Tổng vụ phải giải quyết × 100%*</w:t>
      </w:r>
    </w:p>
    <w:p>
      <w:pPr>
        <w:spacing w:before="240" w:after="120"/>
      </w:pPr>
      <w:r>
        <w:rPr>
          <w:b/>
          <w:color w:val="2E75B6"/>
          <w:sz w:val="26"/>
        </w:rPr>
        <w:t>Bảng 3. Phân tích kết quả xét xử giám đốc thẩm theo hướng giải quyết</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left"/>
            </w:pPr>
            <w:r/>
            <w:r>
              <w:rPr>
                <w:rFonts w:ascii="Times New Roman" w:hAnsi="Times New Roman"/>
                <w:b/>
                <w:color w:val="FFFFFF"/>
                <w:sz w:val="24"/>
              </w:rPr>
              <w:t>Hướng giải quyết</w:t>
            </w:r>
          </w:p>
        </w:tc>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2021</w:t>
            </w:r>
          </w:p>
        </w:tc>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2022</w:t>
            </w:r>
          </w:p>
        </w:tc>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2023</w:t>
            </w:r>
          </w:p>
        </w:tc>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2024</w:t>
            </w:r>
          </w:p>
        </w:tc>
        <w:tc>
          <w:tcPr>
            <w:tcW w:type="dxa" w:w="1567"/>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2025</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sz w:val="24"/>
              </w:rPr>
              <w:t>Không chấp nhận kháng nghị, giữ nguyên bản án (vụ/bị cáo)</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5/23</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9/15</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2/2</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0/0</w:t>
            </w:r>
          </w:p>
        </w:tc>
      </w:tr>
      <w:tr>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sz w:val="24"/>
              </w:rPr>
              <w:t>Sửa phần hình phạt (vụ)</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2</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sz w:val="24"/>
              </w:rPr>
              <w:t>Sửa phần bồi thường thiệt hại (vụ)</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r>
      <w:tr>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sz w:val="24"/>
              </w:rPr>
              <w:t>Sửa khác (vụ)</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sz w:val="24"/>
              </w:rPr>
              <w:t>Huỷ bản án sơ thẩm để điều tra lại (vụ)</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5</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3</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6</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4</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2</w:t>
            </w:r>
          </w:p>
        </w:tc>
      </w:tr>
      <w:tr>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sz w:val="24"/>
              </w:rPr>
              <w:t>Huỷ bản án sơ thẩm để xét xử lại (vụ)</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sz w:val="24"/>
              </w:rPr>
              <w:t>Huỷ bản án phúc thẩm để điều tra lại (vụ)</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23</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15</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19</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20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20</w:t>
            </w:r>
          </w:p>
        </w:tc>
      </w:tr>
      <w:tr>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sz w:val="24"/>
              </w:rPr>
              <w:t>Huỷ bản án phúc thẩm để xét xử lại (vụ)</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29</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sz w:val="24"/>
              </w:rPr>
              <w:t>Huỷ quyết định GĐT, tái thẩm để điều tra lại (vụ)</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17</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r>
      <w:tr>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sz w:val="24"/>
              </w:rPr>
              <w:t>Huỷ quyết định GĐT, tái thẩm để xét xử lại (vụ)</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9</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sz w:val="24"/>
              </w:rPr>
              <w:t>Tuyên bố bị cáo không có tội (vụ)</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6</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4</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r>
      <w:tr>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sz w:val="24"/>
              </w:rPr>
              <w:t>Đình chỉ vụ án (vụ)</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sz w:val="24"/>
              </w:rPr>
              <w:t>Giữ nguyên bản án cấp dưới bị huỷ/sửa sai (vụ)</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2</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r>
      <w:tr>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sz w:val="24"/>
              </w:rPr>
              <w:t>Giải quyết khác (vụ)</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20</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13</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15</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9</w:t>
            </w:r>
          </w:p>
        </w:tc>
        <w:tc>
          <w:tcPr>
            <w:tcW w:type="dxa" w:w="1567"/>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r>
      <w:tr>
        <w:tc>
          <w:tcPr>
            <w:tcW w:type="dxa" w:w="156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sz w:val="24"/>
              </w:rPr>
              <w:t>Áp dụng án lệ (vụ)</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w:t>
            </w:r>
          </w:p>
        </w:tc>
        <w:tc>
          <w:tcPr>
            <w:tcW w:type="dxa" w:w="156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r>
    </w:tbl>
    <w:p/>
    <w:p>
      <w:pPr>
        <w:spacing w:before="240" w:after="120"/>
      </w:pPr>
      <w:r>
        <w:rPr>
          <w:b/>
          <w:color w:val="2E75B6"/>
          <w:sz w:val="26"/>
        </w:rPr>
        <w:t>Bảng 4. Phân tích chủ thể kháng nghị giám đốc thẩm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4" w:space="0" w:color="000000"/>
              <w:left w:val="single" w:sz="4" w:space="0" w:color="000000"/>
              <w:bottom w:val="single" w:sz="4" w:space="0" w:color="000000"/>
              <w:right w:val="single" w:sz="4" w:space="0" w:color="000000"/>
            </w:tcBorders>
            <w:shd w:val="clear" w:color="auto" w:fill="1F3964"/>
          </w:tcPr>
          <w:p>
            <w:pPr>
              <w:jc w:val="left"/>
            </w:pPr>
            <w:r/>
            <w:r>
              <w:rPr>
                <w:rFonts w:ascii="Times New Roman" w:hAnsi="Times New Roman"/>
                <w:b/>
                <w:color w:val="FFFFFF"/>
                <w:sz w:val="24"/>
              </w:rPr>
              <w:t>Năm</w:t>
            </w:r>
          </w:p>
        </w:tc>
        <w:tc>
          <w:tcPr>
            <w:tcW w:type="dxa" w:w="188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Kháng nghị của Chánh án TANDTC (vụ)</w:t>
            </w:r>
          </w:p>
        </w:tc>
        <w:tc>
          <w:tcPr>
            <w:tcW w:type="dxa" w:w="188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Kháng nghị của Viện trưởng VKSNDTC (vụ)</w:t>
            </w:r>
          </w:p>
        </w:tc>
        <w:tc>
          <w:tcPr>
            <w:tcW w:type="dxa" w:w="188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Chánh án rút KN (vụ)</w:t>
            </w:r>
          </w:p>
        </w:tc>
        <w:tc>
          <w:tcPr>
            <w:tcW w:type="dxa" w:w="188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Viện trưởng rút KN (vụ)</w:t>
            </w:r>
          </w:p>
        </w:tc>
      </w:tr>
      <w:tr>
        <w:tc>
          <w:tcPr>
            <w:tcW w:type="dxa" w:w="18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sz w:val="24"/>
              </w:rPr>
              <w:t>2021</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28</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44</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w:t>
            </w:r>
          </w:p>
        </w:tc>
      </w:tr>
      <w:tr>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val="0"/>
                <w:sz w:val="24"/>
              </w:rPr>
              <w:t>2022</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4</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18</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8</w:t>
            </w:r>
          </w:p>
        </w:tc>
      </w:tr>
      <w:tr>
        <w:tc>
          <w:tcPr>
            <w:tcW w:type="dxa" w:w="18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sz w:val="24"/>
              </w:rPr>
              <w:t>2023</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11</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9</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4</w:t>
            </w:r>
          </w:p>
        </w:tc>
      </w:tr>
      <w:tr>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val="0"/>
                <w:sz w:val="24"/>
              </w:rPr>
              <w:t>2024</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14</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11</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0</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2</w:t>
            </w:r>
          </w:p>
        </w:tc>
      </w:tr>
      <w:tr>
        <w:tc>
          <w:tcPr>
            <w:tcW w:type="dxa" w:w="18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sz w:val="24"/>
              </w:rPr>
              <w:t>2025</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5</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12</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0</w:t>
            </w:r>
          </w:p>
        </w:tc>
        <w:tc>
          <w:tcPr>
            <w:tcW w:type="dxa" w:w="188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6</w:t>
            </w:r>
          </w:p>
        </w:tc>
      </w:tr>
      <w:tr>
        <w:tc>
          <w:tcPr>
            <w:tcW w:type="dxa" w:w="1881"/>
            <w:tcBorders>
              <w:top w:val="single" w:sz="4" w:space="0" w:color="000000"/>
              <w:left w:val="single" w:sz="4" w:space="0" w:color="000000"/>
              <w:bottom w:val="single" w:sz="4" w:space="0" w:color="000000"/>
              <w:right w:val="single" w:sz="4" w:space="0" w:color="000000"/>
            </w:tcBorders>
            <w:shd w:val="clear" w:color="auto" w:fill="D6E4F0"/>
          </w:tcPr>
          <w:p>
            <w:pPr>
              <w:jc w:val="left"/>
            </w:pPr>
            <w:r/>
            <w:r>
              <w:rPr>
                <w:rFonts w:ascii="Times New Roman" w:hAnsi="Times New Roman"/>
                <w:b/>
                <w:sz w:val="24"/>
              </w:rPr>
              <w:t>Tổng</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62</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94</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1</w:t>
            </w:r>
          </w:p>
        </w:tc>
        <w:tc>
          <w:tcPr>
            <w:tcW w:type="dxa" w:w="188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21</w:t>
            </w:r>
          </w:p>
        </w:tc>
      </w:tr>
    </w:tbl>
    <w:p/>
    <w:p>
      <w:pPr>
        <w:spacing w:before="240" w:after="120"/>
      </w:pPr>
      <w:r>
        <w:rPr>
          <w:b/>
          <w:color w:val="1F3964"/>
          <w:sz w:val="26"/>
        </w:rPr>
        <w:t>II. NHẬN XÉT VÀ BÌNH LUẬN VỀ KẾT QUẢ THỰC TIỄN THẨM QUYỀN GIÁM ĐỐC THẨM</w:t>
      </w:r>
    </w:p>
    <w:p>
      <w:pPr>
        <w:spacing w:before="240" w:after="120"/>
      </w:pPr>
      <w:r>
        <w:rPr>
          <w:b/>
          <w:color w:val="2E75B6"/>
          <w:sz w:val="26"/>
        </w:rPr>
        <w:t>1. Nhận xét về thẩm quyền xét xử giám đốc thẩm (Điều 382 BLTTDS 2015)</w:t>
      </w:r>
    </w:p>
    <w:p>
      <w:pPr>
        <w:spacing w:after="120"/>
        <w:ind w:firstLine="567"/>
        <w:jc w:val="both"/>
      </w:pPr>
      <w:r>
        <w:rPr>
          <w:rFonts w:ascii="Times New Roman" w:hAnsi="Times New Roman"/>
          <w:sz w:val="26"/>
        </w:rPr>
        <w:t xml:space="preserve">Điều 382 Bộ luật Tố tụng dân sự năm 2015 (sửa đổi, bổ sung năm 2025) quy định thẩm quyền giám đốc thẩm theo nguyên tắc </w:t>
      </w:r>
      <w:r>
        <w:rPr>
          <w:rFonts w:ascii="Times New Roman" w:hAnsi="Times New Roman"/>
          <w:b/>
          <w:sz w:val="26"/>
        </w:rPr>
        <w:t>phân cấp thẩm quyền</w:t>
      </w:r>
      <w:r>
        <w:rPr>
          <w:rFonts w:ascii="Times New Roman" w:hAnsi="Times New Roman"/>
          <w:sz w:val="26"/>
        </w:rPr>
        <w:t>, trong đó Hội đồng thẩm phán TAND tối cao là cấp xét xử giám đốc thẩm cao nhất, đóng vai trò bảo đảm áp dụng thống nhất pháp luật trên phạm vi toàn quốc. Số liệu thực tiễn giai đoạn 2020–2025 cho thấy một số điểm đáng chú ý sau:</w:t>
      </w:r>
    </w:p>
    <w:p>
      <w:pPr>
        <w:spacing w:before="240" w:after="120"/>
      </w:pPr>
      <w:r>
        <w:rPr>
          <w:b/>
          <w:color w:val="2E75B6"/>
          <w:sz w:val="26"/>
        </w:rPr>
        <w:t>2. Xu hướng giảm số vụ án thụ lý</w:t>
      </w:r>
    </w:p>
    <w:p>
      <w:pPr>
        <w:spacing w:after="120"/>
        <w:ind w:firstLine="567"/>
        <w:jc w:val="both"/>
      </w:pPr>
      <w:r>
        <w:rPr>
          <w:rFonts w:ascii="Times New Roman" w:hAnsi="Times New Roman"/>
          <w:sz w:val="26"/>
        </w:rPr>
        <w:t xml:space="preserve">Qua 5 năm (2021–2025), tổng số vụ án giám đốc thẩm phải giải quyết tại TAND tối cao giảm mạnh từ </w:t>
      </w:r>
      <w:r>
        <w:rPr>
          <w:rFonts w:ascii="Times New Roman" w:hAnsi="Times New Roman"/>
          <w:b/>
          <w:sz w:val="26"/>
        </w:rPr>
        <w:t>87 vụ</w:t>
      </w:r>
      <w:r>
        <w:rPr>
          <w:rFonts w:ascii="Times New Roman" w:hAnsi="Times New Roman"/>
          <w:sz w:val="26"/>
        </w:rPr>
        <w:t xml:space="preserve"> (năm 2021) xuống còn </w:t>
      </w:r>
      <w:r>
        <w:rPr>
          <w:rFonts w:ascii="Times New Roman" w:hAnsi="Times New Roman"/>
          <w:b/>
          <w:sz w:val="26"/>
        </w:rPr>
        <w:t>23 vụ</w:t>
      </w:r>
      <w:r>
        <w:rPr>
          <w:rFonts w:ascii="Times New Roman" w:hAnsi="Times New Roman"/>
          <w:sz w:val="26"/>
        </w:rPr>
        <w:t xml:space="preserve"> (năm 2025), tương ứng mức giảm khoảng </w:t>
      </w:r>
      <w:r>
        <w:rPr>
          <w:rFonts w:ascii="Times New Roman" w:hAnsi="Times New Roman"/>
          <w:b/>
          <w:sz w:val="26"/>
        </w:rPr>
        <w:t>73,6%</w:t>
      </w:r>
      <w:r>
        <w:rPr>
          <w:rFonts w:ascii="Times New Roman" w:hAnsi="Times New Roman"/>
          <w:sz w:val="26"/>
        </w:rPr>
        <w:t>. Đây là xu hướng tích cực phản ánh:</w:t>
      </w:r>
    </w:p>
    <w:p>
      <w:pPr>
        <w:pStyle w:val="ListBullet"/>
        <w:spacing w:after="60"/>
        <w:jc w:val="both"/>
      </w:pPr>
      <w:r>
        <w:rPr>
          <w:rFonts w:ascii="Times New Roman" w:hAnsi="Times New Roman"/>
          <w:sz w:val="26"/>
        </w:rPr>
        <w:t>Chất lượng xét xử sơ thẩm và phúc thẩm ngày càng được cải thiện, làm giảm số lượng bản án có sai lầm cần kháng nghị giám đốc thẩm;</w:t>
      </w:r>
    </w:p>
    <w:p>
      <w:pPr>
        <w:pStyle w:val="ListBullet"/>
        <w:spacing w:after="60"/>
        <w:jc w:val="both"/>
      </w:pPr>
      <w:r>
        <w:rPr>
          <w:rFonts w:ascii="Times New Roman" w:hAnsi="Times New Roman"/>
          <w:sz w:val="26"/>
        </w:rPr>
        <w:t>Công tác thẩm tra, nghiên cứu hồ sơ đề nghị giám đốc thẩm được siết chặt hơn, chỉ những vụ án thực sự có căn cứ mới được kháng nghị;</w:t>
      </w:r>
    </w:p>
    <w:p>
      <w:pPr>
        <w:pStyle w:val="ListBullet"/>
        <w:spacing w:after="60"/>
        <w:jc w:val="both"/>
      </w:pPr>
      <w:r>
        <w:rPr>
          <w:rFonts w:ascii="Times New Roman" w:hAnsi="Times New Roman"/>
          <w:sz w:val="26"/>
        </w:rPr>
        <w:t>Hiệu ứng tích lũy từ việc hướng dẫn áp dụng pháp luật thống nhất qua án lệ và Nghị quyết của HĐTP TAND tối cao.</w:t>
      </w:r>
    </w:p>
    <w:p>
      <w:pPr>
        <w:spacing w:after="120"/>
        <w:ind w:firstLine="567"/>
        <w:jc w:val="both"/>
      </w:pPr>
      <w:r>
        <w:rPr>
          <w:rFonts w:ascii="Times New Roman" w:hAnsi="Times New Roman"/>
          <w:sz w:val="26"/>
        </w:rPr>
        <w:t>Tuy nhiên, sự sụt giảm mạnh đột ngột này cũng đặt ra câu hỏi về tính đầy đủ trong công tác phát hiện sai lầm của các bản án, quyết định đã có hiệu lực pháp luật.</w:t>
      </w:r>
    </w:p>
    <w:p>
      <w:pPr>
        <w:spacing w:before="240" w:after="120"/>
      </w:pPr>
      <w:r>
        <w:rPr>
          <w:b/>
          <w:color w:val="2E75B6"/>
          <w:sz w:val="26"/>
        </w:rPr>
        <w:t>3. Tỷ lệ giải quyết ngày càng được cải thiện</w:t>
      </w:r>
    </w:p>
    <w:p>
      <w:pPr>
        <w:spacing w:after="120"/>
        <w:ind w:firstLine="567"/>
        <w:jc w:val="both"/>
      </w:pPr>
      <w:r>
        <w:rPr>
          <w:rFonts w:ascii="Times New Roman" w:hAnsi="Times New Roman"/>
          <w:sz w:val="26"/>
        </w:rPr>
        <w:t xml:space="preserve">Tỷ lệ giải quyết vụ án giám đốc thẩm tăng từ </w:t>
      </w:r>
      <w:r>
        <w:rPr>
          <w:rFonts w:ascii="Times New Roman" w:hAnsi="Times New Roman"/>
          <w:b/>
          <w:sz w:val="26"/>
        </w:rPr>
        <w:t>60,9%</w:t>
      </w:r>
      <w:r>
        <w:rPr>
          <w:rFonts w:ascii="Times New Roman" w:hAnsi="Times New Roman"/>
          <w:sz w:val="26"/>
        </w:rPr>
        <w:t xml:space="preserve"> (năm 2021) lên </w:t>
      </w:r>
      <w:r>
        <w:rPr>
          <w:rFonts w:ascii="Times New Roman" w:hAnsi="Times New Roman"/>
          <w:b/>
          <w:sz w:val="26"/>
        </w:rPr>
        <w:t>91,3%</w:t>
      </w:r>
      <w:r>
        <w:rPr>
          <w:rFonts w:ascii="Times New Roman" w:hAnsi="Times New Roman"/>
          <w:sz w:val="26"/>
        </w:rPr>
        <w:t xml:space="preserve"> (năm 2025). Đặc biệt, trong suốt giai đoạn khảo sát </w:t>
      </w:r>
      <w:r>
        <w:rPr>
          <w:rFonts w:ascii="Times New Roman" w:hAnsi="Times New Roman"/>
          <w:b/>
          <w:sz w:val="26"/>
        </w:rPr>
        <w:t>không có vụ án nào bị giải quyết quá hạn</w:t>
      </w:r>
      <w:r>
        <w:rPr>
          <w:rFonts w:ascii="Times New Roman" w:hAnsi="Times New Roman"/>
          <w:sz w:val="26"/>
        </w:rPr>
        <w:t xml:space="preserve"> – đây là kết quả đáng ghi nhận, thể hiện sự nghiêm túc trong việc thực hiện các quy định về thời hạn xét xử giám đốc thẩm theo BLTTDS.</w:t>
      </w:r>
    </w:p>
    <w:p>
      <w:pPr>
        <w:spacing w:after="120"/>
        <w:ind w:left="567"/>
        <w:jc w:val="both"/>
      </w:pPr>
      <w:r>
        <w:rPr>
          <w:rFonts w:ascii="Times New Roman" w:hAnsi="Times New Roman"/>
          <w:i/>
          <w:color w:val="105088"/>
          <w:sz w:val="24"/>
        </w:rPr>
      </w:r>
    </w:p>
    <w:p>
      <w:pPr>
        <w:spacing w:after="120"/>
        <w:ind w:left="567"/>
        <w:jc w:val="both"/>
      </w:pPr>
      <w:r>
        <w:rPr>
          <w:rFonts w:ascii="Times New Roman" w:hAnsi="Times New Roman"/>
          <w:i/>
          <w:color w:val="105088"/>
          <w:sz w:val="24"/>
        </w:rPr>
        <w:t xml:space="preserve">Điều 382 BLTTDS quy định thời hạn mở phiên tòa giám đốc thẩm là </w:t>
      </w:r>
      <w:r>
        <w:rPr>
          <w:rFonts w:ascii="Times New Roman" w:hAnsi="Times New Roman"/>
          <w:b/>
          <w:color w:val="105088"/>
          <w:sz w:val="24"/>
        </w:rPr>
        <w:t>4 tháng</w:t>
      </w:r>
      <w:r>
        <w:rPr>
          <w:rFonts w:ascii="Times New Roman" w:hAnsi="Times New Roman"/>
          <w:color w:val="105088"/>
          <w:sz w:val="24"/>
        </w:rPr>
        <w:t xml:space="preserve"> kể từ ngày nhận được kháng nghị hợp lệ cùng hồ sơ vụ án. Việc không có vụ nào quá hạn cho thấy TAND tối cao đã tuân thủ nghiêm quy định này.</w:t>
      </w:r>
    </w:p>
    <w:p>
      <w:pPr>
        <w:spacing w:before="240" w:after="120"/>
      </w:pPr>
      <w:r>
        <w:rPr>
          <w:b/>
          <w:color w:val="2E75B6"/>
          <w:sz w:val="26"/>
        </w:rPr>
        <w:t>4. Phân tích kết quả xét xử theo hướng giải quyết</w:t>
      </w:r>
    </w:p>
    <w:p>
      <w:pPr>
        <w:spacing w:before="240" w:after="120"/>
      </w:pPr>
      <w:r>
        <w:rPr>
          <w:b/>
          <w:color w:val="2E75B6"/>
          <w:sz w:val="26"/>
        </w:rPr>
        <w:t>4.1. Xu hướng huỷ bản án để xét xử lại ngày càng chiếm ưu thế</w:t>
      </w:r>
    </w:p>
    <w:p>
      <w:pPr>
        <w:spacing w:after="120"/>
        <w:ind w:firstLine="567"/>
        <w:jc w:val="both"/>
      </w:pPr>
      <w:r>
        <w:rPr>
          <w:rFonts w:ascii="Times New Roman" w:hAnsi="Times New Roman"/>
          <w:sz w:val="26"/>
        </w:rPr>
        <w:t xml:space="preserve">Số liệu cho thấy hướng </w:t>
      </w:r>
      <w:r>
        <w:rPr>
          <w:rFonts w:ascii="Times New Roman" w:hAnsi="Times New Roman"/>
          <w:b/>
          <w:sz w:val="26"/>
        </w:rPr>
        <w:t>huỷ bản án phúc thẩm để xét xử lại hoặc điều tra lại</w:t>
      </w:r>
      <w:r>
        <w:rPr>
          <w:rFonts w:ascii="Times New Roman" w:hAnsi="Times New Roman"/>
          <w:sz w:val="26"/>
        </w:rPr>
        <w:t xml:space="preserve"> là hướng giải quyết chủ đạo, đặc biệt là huỷ bản án phúc thẩm để điều tra lại (từ 23 vụ năm 2021 duy trì ở mức cao 15–20 vụ trong các năm tiếp theo).</w:t>
      </w:r>
    </w:p>
    <w:p>
      <w:pPr>
        <w:spacing w:after="120"/>
        <w:ind w:firstLine="567"/>
        <w:jc w:val="both"/>
      </w:pPr>
      <w:r>
        <w:rPr>
          <w:rFonts w:ascii="Times New Roman" w:hAnsi="Times New Roman"/>
          <w:sz w:val="26"/>
        </w:rPr>
        <w:t xml:space="preserve">Điều này phản ánh thực tế là Hội đồng GĐT không thể tự mình sửa bản án trong đa số trường hợp vì cần làm rõ thêm sự thật của vụ án – vốn đòi hỏi hoạt động tố tụng tại cấp dưới. Đây phù hợp với bản chất của giám đốc thẩm: </w:t>
      </w:r>
      <w:r>
        <w:rPr>
          <w:rFonts w:ascii="Times New Roman" w:hAnsi="Times New Roman"/>
          <w:b/>
          <w:sz w:val="26"/>
        </w:rPr>
        <w:t>không phải là một cấp xét xử mới</w:t>
      </w:r>
      <w:r>
        <w:rPr>
          <w:rFonts w:ascii="Times New Roman" w:hAnsi="Times New Roman"/>
          <w:sz w:val="26"/>
        </w:rPr>
        <w:t xml:space="preserve"> mà là thủ tục xét lại bản án có hiệu lực pháp luật.</w:t>
      </w:r>
    </w:p>
    <w:p>
      <w:pPr>
        <w:spacing w:before="240" w:after="120"/>
      </w:pPr>
      <w:r>
        <w:rPr>
          <w:b/>
          <w:color w:val="2E75B6"/>
          <w:sz w:val="26"/>
        </w:rPr>
        <w:t>4.2. Tỷ lệ không chấp nhận kháng nghị giảm rõ rệt</w:t>
      </w:r>
    </w:p>
    <w:p>
      <w:pPr>
        <w:spacing w:after="120"/>
        <w:ind w:firstLine="567"/>
        <w:jc w:val="both"/>
      </w:pPr>
      <w:r>
        <w:rPr>
          <w:rFonts w:ascii="Times New Roman" w:hAnsi="Times New Roman"/>
          <w:sz w:val="26"/>
        </w:rPr>
        <w:t xml:space="preserve">Số vụ bị </w:t>
      </w:r>
      <w:r>
        <w:rPr>
          <w:rFonts w:ascii="Times New Roman" w:hAnsi="Times New Roman"/>
          <w:b/>
          <w:sz w:val="26"/>
        </w:rPr>
        <w:t>không chấp nhận kháng nghị, giữ nguyên bản án</w:t>
      </w:r>
      <w:r>
        <w:rPr>
          <w:rFonts w:ascii="Times New Roman" w:hAnsi="Times New Roman"/>
          <w:sz w:val="26"/>
        </w:rPr>
        <w:t xml:space="preserve"> giảm từ 5 vụ (2021), 9 vụ (2022), 2 vụ (2023) xuống </w:t>
      </w:r>
      <w:r>
        <w:rPr>
          <w:rFonts w:ascii="Times New Roman" w:hAnsi="Times New Roman"/>
          <w:b/>
          <w:sz w:val="26"/>
        </w:rPr>
        <w:t>0 vụ</w:t>
      </w:r>
      <w:r>
        <w:rPr>
          <w:rFonts w:ascii="Times New Roman" w:hAnsi="Times New Roman"/>
          <w:sz w:val="26"/>
        </w:rPr>
        <w:t xml:space="preserve"> trong năm 2024–2025. Đây phản ánh chất lượng kháng nghị được nâng cao – Chánh án và Viện trưởng chỉ kháng nghị khi có đủ cơ sở vững chắc, hạn chế tình trạng kháng nghị không có căn cứ.</w:t>
      </w:r>
    </w:p>
    <w:p>
      <w:pPr>
        <w:spacing w:before="240" w:after="120"/>
      </w:pPr>
      <w:r>
        <w:rPr>
          <w:b/>
          <w:color w:val="2E75B6"/>
          <w:sz w:val="26"/>
        </w:rPr>
        <w:t>4.3. Hoạt động sửa bản án còn hạn chế</w:t>
      </w:r>
    </w:p>
    <w:p>
      <w:pPr>
        <w:spacing w:after="120"/>
        <w:ind w:firstLine="567"/>
        <w:jc w:val="both"/>
      </w:pPr>
      <w:r>
        <w:rPr>
          <w:rFonts w:ascii="Times New Roman" w:hAnsi="Times New Roman"/>
          <w:sz w:val="26"/>
        </w:rPr>
        <w:t xml:space="preserve">Hướng </w:t>
      </w:r>
      <w:r>
        <w:rPr>
          <w:rFonts w:ascii="Times New Roman" w:hAnsi="Times New Roman"/>
          <w:b/>
          <w:sz w:val="26"/>
        </w:rPr>
        <w:t>sửa bản án, quyết định</w:t>
      </w:r>
      <w:r>
        <w:rPr>
          <w:rFonts w:ascii="Times New Roman" w:hAnsi="Times New Roman"/>
          <w:sz w:val="26"/>
        </w:rPr>
        <w:t xml:space="preserve"> (sửa hình phạt, sửa bồi thường) xuất hiện rất ít qua các năm (tổng 5 vụ trong 5 năm). Điều này cho thấy thực tiễn giám đốc thẩm hiếm khi đủ điều kiện để sửa trực tiếp theo quy định tại Điều 388 BLTTDS (chỉ sửa khi các tình tiết đã rõ ràng, không cần điều tra bổ sung).</w:t>
      </w:r>
    </w:p>
    <w:p>
      <w:pPr>
        <w:spacing w:before="240" w:after="120"/>
      </w:pPr>
      <w:r>
        <w:rPr>
          <w:b/>
          <w:color w:val="2E75B6"/>
          <w:sz w:val="26"/>
        </w:rPr>
        <w:t>4.4. Kháng nghị giám đốc thẩm – Vai trò của hai chủ thể</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000000"/>
              <w:left w:val="single" w:sz="4" w:space="0" w:color="000000"/>
              <w:bottom w:val="single" w:sz="4" w:space="0" w:color="000000"/>
              <w:right w:val="single" w:sz="4" w:space="0" w:color="000000"/>
            </w:tcBorders>
            <w:shd w:val="clear" w:color="auto" w:fill="1F3964"/>
          </w:tcPr>
          <w:p>
            <w:pPr>
              <w:jc w:val="left"/>
            </w:pPr>
            <w:r/>
            <w:r>
              <w:rPr>
                <w:rFonts w:ascii="Times New Roman" w:hAnsi="Times New Roman"/>
                <w:b/>
                <w:color w:val="FFFFFF"/>
                <w:sz w:val="24"/>
              </w:rPr>
              <w:t>Chủ thể</w:t>
            </w:r>
          </w:p>
        </w:tc>
        <w:tc>
          <w:tcPr>
            <w:tcW w:type="dxa" w:w="235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Tổng kháng nghị (2021–2025)</w:t>
            </w:r>
          </w:p>
        </w:tc>
        <w:tc>
          <w:tcPr>
            <w:tcW w:type="dxa" w:w="235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Tỷ lệ</w:t>
            </w:r>
          </w:p>
        </w:tc>
        <w:tc>
          <w:tcPr>
            <w:tcW w:type="dxa" w:w="2351"/>
            <w:tcBorders>
              <w:top w:val="single" w:sz="4" w:space="0" w:color="000000"/>
              <w:left w:val="single" w:sz="4" w:space="0" w:color="000000"/>
              <w:bottom w:val="single" w:sz="4" w:space="0" w:color="000000"/>
              <w:right w:val="single" w:sz="4" w:space="0" w:color="000000"/>
            </w:tcBorders>
            <w:shd w:val="clear" w:color="auto" w:fill="1F3964"/>
          </w:tcPr>
          <w:p>
            <w:pPr>
              <w:jc w:val="center"/>
            </w:pPr>
            <w:r/>
            <w:r>
              <w:rPr>
                <w:rFonts w:ascii="Times New Roman" w:hAnsi="Times New Roman"/>
                <w:b/>
                <w:color w:val="FFFFFF"/>
                <w:sz w:val="24"/>
              </w:rPr>
              <w:t>Rút kháng nghị</w:t>
            </w:r>
          </w:p>
        </w:tc>
      </w:tr>
      <w:tr>
        <w:tc>
          <w:tcPr>
            <w:tcW w:type="dxa" w:w="235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b w:val="0"/>
                <w:sz w:val="24"/>
              </w:rPr>
              <w:t>Chánh án TAND tối cao</w:t>
            </w:r>
          </w:p>
        </w:tc>
        <w:tc>
          <w:tcPr>
            <w:tcW w:type="dxa" w:w="235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62 vụ</w:t>
            </w:r>
          </w:p>
        </w:tc>
        <w:tc>
          <w:tcPr>
            <w:tcW w:type="dxa" w:w="235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24"/>
              </w:rPr>
              <w:t>39,7%</w:t>
            </w:r>
          </w:p>
        </w:tc>
        <w:tc>
          <w:tcPr>
            <w:tcW w:type="dxa" w:w="2351"/>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val="0"/>
                <w:sz w:val="24"/>
              </w:rPr>
              <w:t>1 vụ (1,6%)</w:t>
            </w:r>
          </w:p>
        </w:tc>
      </w:tr>
      <w:tr>
        <w:tc>
          <w:tcPr>
            <w:tcW w:type="dxa" w:w="2351"/>
            <w:tcBorders>
              <w:top w:val="single" w:sz="4" w:space="0" w:color="000000"/>
              <w:left w:val="single" w:sz="4" w:space="0" w:color="000000"/>
              <w:bottom w:val="single" w:sz="4" w:space="0" w:color="000000"/>
              <w:right w:val="single" w:sz="4" w:space="0" w:color="000000"/>
            </w:tcBorders>
            <w:shd w:val="clear" w:color="auto" w:fill="EBF5FB"/>
          </w:tcPr>
          <w:p>
            <w:pPr>
              <w:jc w:val="left"/>
            </w:pPr>
            <w:r/>
            <w:r>
              <w:rPr>
                <w:rFonts w:ascii="Times New Roman" w:hAnsi="Times New Roman"/>
                <w:b w:val="0"/>
                <w:sz w:val="24"/>
              </w:rPr>
              <w:t>Viện trưởng VKSND tối cao</w:t>
            </w:r>
          </w:p>
        </w:tc>
        <w:tc>
          <w:tcPr>
            <w:tcW w:type="dxa" w:w="235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94 vụ</w:t>
            </w:r>
          </w:p>
        </w:tc>
        <w:tc>
          <w:tcPr>
            <w:tcW w:type="dxa" w:w="235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sz w:val="24"/>
              </w:rPr>
              <w:t>60,3%</w:t>
            </w:r>
          </w:p>
        </w:tc>
        <w:tc>
          <w:tcPr>
            <w:tcW w:type="dxa" w:w="2351"/>
            <w:tcBorders>
              <w:top w:val="single" w:sz="4" w:space="0" w:color="000000"/>
              <w:left w:val="single" w:sz="4" w:space="0" w:color="000000"/>
              <w:bottom w:val="single" w:sz="4" w:space="0" w:color="000000"/>
              <w:right w:val="single" w:sz="4" w:space="0" w:color="000000"/>
            </w:tcBorders>
            <w:shd w:val="clear" w:color="auto" w:fill="EBF5FB"/>
          </w:tcPr>
          <w:p>
            <w:pPr>
              <w:jc w:val="center"/>
            </w:pPr>
            <w:r/>
            <w:r>
              <w:rPr>
                <w:rFonts w:ascii="Times New Roman" w:hAnsi="Times New Roman"/>
                <w:b w:val="0"/>
                <w:sz w:val="24"/>
              </w:rPr>
              <w:t>21 vụ (22,3%)</w:t>
            </w:r>
          </w:p>
        </w:tc>
      </w:tr>
    </w:tbl>
    <w:p/>
    <w:p>
      <w:pPr>
        <w:spacing w:after="120"/>
        <w:ind w:firstLine="567"/>
        <w:jc w:val="both"/>
      </w:pPr>
      <w:r>
        <w:rPr>
          <w:rFonts w:ascii="Times New Roman" w:hAnsi="Times New Roman"/>
          <w:sz w:val="26"/>
        </w:rPr>
        <w:t xml:space="preserve">Đáng chú ý là Viện trưởng VKSNDTC chiếm tỷ lệ kháng nghị cao hơn (60,3%) nhưng lại có </w:t>
      </w:r>
      <w:r>
        <w:rPr>
          <w:rFonts w:ascii="Times New Roman" w:hAnsi="Times New Roman"/>
          <w:b/>
          <w:sz w:val="26"/>
        </w:rPr>
        <w:t>tỷ lệ rút kháng nghị cao hơn</w:t>
      </w:r>
      <w:r>
        <w:rPr>
          <w:rFonts w:ascii="Times New Roman" w:hAnsi="Times New Roman"/>
          <w:sz w:val="26"/>
        </w:rPr>
        <w:t xml:space="preserve"> (22,3% so với 1,6% của Chánh án). Điều này đặt ra vấn đề về </w:t>
      </w:r>
      <w:r>
        <w:rPr>
          <w:rFonts w:ascii="Times New Roman" w:hAnsi="Times New Roman"/>
          <w:b/>
          <w:sz w:val="26"/>
        </w:rPr>
        <w:t>tính chính xác và thận trọng</w:t>
      </w:r>
      <w:r>
        <w:rPr>
          <w:rFonts w:ascii="Times New Roman" w:hAnsi="Times New Roman"/>
          <w:sz w:val="26"/>
        </w:rPr>
        <w:t xml:space="preserve"> trong hoạt động kháng nghị của VKSNDTC: có thể phản ánh việc kháng nghị đôi khi chưa được xem xét kỹ lưỡng trước khi ban hành, hoặc do sự thay đổi quan điểm trong quá trình xem xét hồ sơ.</w:t>
      </w:r>
    </w:p>
    <w:p>
      <w:pPr>
        <w:spacing w:before="240" w:after="120"/>
      </w:pPr>
      <w:r>
        <w:rPr>
          <w:b/>
          <w:color w:val="2E75B6"/>
          <w:sz w:val="26"/>
        </w:rPr>
        <w:t>5. Đánh giá về tính hiệu quả và một số hạn chế</w:t>
      </w:r>
    </w:p>
    <w:p>
      <w:pPr>
        <w:spacing w:before="240" w:after="120"/>
      </w:pPr>
      <w:r>
        <w:rPr>
          <w:b/>
          <w:color w:val="2E75B6"/>
          <w:sz w:val="26"/>
        </w:rPr>
        <w:t>5.1. Ưu điểm</w:t>
      </w:r>
    </w:p>
    <w:p>
      <w:pPr>
        <w:pStyle w:val="ListBullet"/>
        <w:spacing w:after="60"/>
        <w:jc w:val="both"/>
      </w:pPr>
      <w:r>
        <w:rPr>
          <w:rFonts w:ascii="Times New Roman" w:hAnsi="Times New Roman"/>
          <w:sz w:val="26"/>
        </w:rPr>
        <w:t xml:space="preserve">Tỷ lệ giải quyết đúng hạn đạt </w:t>
      </w:r>
      <w:r>
        <w:rPr>
          <w:rFonts w:ascii="Times New Roman" w:hAnsi="Times New Roman"/>
          <w:b/>
          <w:sz w:val="26"/>
        </w:rPr>
        <w:t>100%</w:t>
      </w:r>
      <w:r>
        <w:rPr>
          <w:rFonts w:ascii="Times New Roman" w:hAnsi="Times New Roman"/>
          <w:sz w:val="26"/>
        </w:rPr>
        <w:t xml:space="preserve"> trong toàn bộ giai đoạn khảo sát – phù hợp với yêu cầu của Điều 382 BLTTDS về thời hạn xét xử.</w:t>
      </w:r>
    </w:p>
    <w:p>
      <w:pPr>
        <w:pStyle w:val="ListBullet"/>
        <w:spacing w:after="60"/>
        <w:jc w:val="both"/>
      </w:pPr>
      <w:r>
        <w:rPr>
          <w:rFonts w:ascii="Times New Roman" w:hAnsi="Times New Roman"/>
          <w:sz w:val="26"/>
        </w:rPr>
        <w:t>Xu hướng giảm số vụ tồn đọng (vụ cũ còn lại) qua các năm cho thấy hiệu quả xử lý cải thiện.</w:t>
      </w:r>
    </w:p>
    <w:p>
      <w:pPr>
        <w:pStyle w:val="ListBullet"/>
        <w:spacing w:after="60"/>
        <w:jc w:val="both"/>
      </w:pPr>
      <w:r>
        <w:rPr>
          <w:rFonts w:ascii="Times New Roman" w:hAnsi="Times New Roman"/>
          <w:sz w:val="26"/>
        </w:rPr>
        <w:t>Không ghi nhận trường hợp nào vi phạm thời hạn tố tụng.</w:t>
      </w:r>
    </w:p>
    <w:p>
      <w:pPr>
        <w:spacing w:before="240" w:after="120"/>
      </w:pPr>
      <w:r>
        <w:rPr>
          <w:b/>
          <w:color w:val="2E75B6"/>
          <w:sz w:val="26"/>
        </w:rPr>
        <w:t>5.2. Hạn chế và kiến nghị</w:t>
      </w:r>
    </w:p>
    <w:p>
      <w:pPr>
        <w:spacing w:after="120"/>
        <w:ind w:left="567"/>
        <w:jc w:val="both"/>
      </w:pPr>
      <w:r>
        <w:rPr>
          <w:rFonts w:ascii="Times New Roman" w:hAnsi="Times New Roman"/>
          <w:i/>
          <w:color w:val="105088"/>
          <w:sz w:val="24"/>
        </w:rPr>
      </w:r>
    </w:p>
    <w:p>
      <w:pPr>
        <w:spacing w:after="120"/>
        <w:ind w:left="567"/>
        <w:jc w:val="both"/>
      </w:pPr>
      <w:r>
        <w:rPr>
          <w:rFonts w:ascii="Times New Roman" w:hAnsi="Times New Roman"/>
          <w:i/>
          <w:color w:val="105088"/>
          <w:sz w:val="24"/>
        </w:rPr>
      </w:r>
      <w:r>
        <w:rPr>
          <w:rFonts w:ascii="Times New Roman" w:hAnsi="Times New Roman"/>
          <w:b/>
          <w:color w:val="105088"/>
          <w:sz w:val="24"/>
        </w:rPr>
        <w:t>Vấn đề rút kháng nghị:</w:t>
      </w:r>
      <w:r>
        <w:rPr>
          <w:rFonts w:ascii="Times New Roman" w:hAnsi="Times New Roman"/>
          <w:color w:val="105088"/>
          <w:sz w:val="24"/>
        </w:rPr>
        <w:t xml:space="preserve"> Tỷ lệ rút kháng nghị của Viện trưởng VKSNDTC ở mức cao (22,3%) đặt ra câu hỏi về </w:t>
      </w:r>
      <w:r>
        <w:rPr>
          <w:rFonts w:ascii="Times New Roman" w:hAnsi="Times New Roman"/>
          <w:b/>
          <w:color w:val="105088"/>
          <w:sz w:val="24"/>
        </w:rPr>
        <w:t>chất lượng quyết định kháng nghị</w:t>
      </w:r>
      <w:r>
        <w:rPr>
          <w:rFonts w:ascii="Times New Roman" w:hAnsi="Times New Roman"/>
          <w:color w:val="105088"/>
          <w:sz w:val="24"/>
        </w:rPr>
        <w:t>. BLTTDS cần bổ sung cơ chế kiểm soát nội bộ chặt chẽ hơn trước khi ban hành kháng nghị giám đốc thẩm.</w:t>
      </w:r>
    </w:p>
    <w:p>
      <w:pPr>
        <w:spacing w:after="120"/>
        <w:ind w:left="567"/>
        <w:jc w:val="both"/>
      </w:pPr>
      <w:r>
        <w:rPr>
          <w:rFonts w:ascii="Times New Roman" w:hAnsi="Times New Roman"/>
          <w:i/>
          <w:color w:val="105088"/>
          <w:sz w:val="24"/>
        </w:rPr>
      </w:r>
    </w:p>
    <w:p>
      <w:pPr>
        <w:spacing w:after="120"/>
        <w:ind w:left="567"/>
        <w:jc w:val="both"/>
      </w:pPr>
      <w:r>
        <w:rPr>
          <w:rFonts w:ascii="Times New Roman" w:hAnsi="Times New Roman"/>
          <w:i/>
          <w:color w:val="105088"/>
          <w:sz w:val="24"/>
        </w:rPr>
      </w:r>
      <w:r>
        <w:rPr>
          <w:rFonts w:ascii="Times New Roman" w:hAnsi="Times New Roman"/>
          <w:b/>
          <w:color w:val="105088"/>
          <w:sz w:val="24"/>
        </w:rPr>
        <w:t>Vấn đề tuyên bố vô tội:</w:t>
      </w:r>
      <w:r>
        <w:rPr>
          <w:rFonts w:ascii="Times New Roman" w:hAnsi="Times New Roman"/>
          <w:color w:val="105088"/>
          <w:sz w:val="24"/>
        </w:rPr>
        <w:t xml:space="preserve"> Số vụ tuyên bố bị cáo không có tội giảm từ 6 vụ (2021), 4 vụ (2022) xuống 0 (2023–2025). Điều này có thể phản ánh chất lượng xét xử cấp dưới cải thiện, nhưng cũng cần xem xét liệu có bỏ sót oan sai hay không.</w:t>
      </w:r>
    </w:p>
    <w:p>
      <w:pPr>
        <w:spacing w:after="120"/>
        <w:ind w:left="567"/>
        <w:jc w:val="both"/>
      </w:pPr>
      <w:r>
        <w:rPr>
          <w:rFonts w:ascii="Times New Roman" w:hAnsi="Times New Roman"/>
          <w:i/>
          <w:color w:val="105088"/>
          <w:sz w:val="24"/>
        </w:rPr>
      </w:r>
    </w:p>
    <w:p>
      <w:pPr>
        <w:spacing w:after="120"/>
        <w:ind w:left="567"/>
        <w:jc w:val="both"/>
      </w:pPr>
      <w:r>
        <w:rPr>
          <w:rFonts w:ascii="Times New Roman" w:hAnsi="Times New Roman"/>
          <w:i/>
          <w:color w:val="105088"/>
          <w:sz w:val="24"/>
        </w:rPr>
      </w:r>
      <w:r>
        <w:rPr>
          <w:rFonts w:ascii="Times New Roman" w:hAnsi="Times New Roman"/>
          <w:b/>
          <w:color w:val="105088"/>
          <w:sz w:val="24"/>
        </w:rPr>
        <w:t>Về áp dụng án lệ:</w:t>
      </w:r>
      <w:r>
        <w:rPr>
          <w:rFonts w:ascii="Times New Roman" w:hAnsi="Times New Roman"/>
          <w:color w:val="105088"/>
          <w:sz w:val="24"/>
        </w:rPr>
        <w:t xml:space="preserve"> Chỉ có 2 vụ áp dụng án lệ trong 5 năm (2021 và 2024), cho thấy hệ thống án lệ chưa được khai thác đầy đủ trong hoạt động giám đốc thẩm. Cần tăng cường phát triển và phổ biến án lệ để thực hiện mục tiêu áp dụng thống nhất pháp luật theo tinh thần của Điều 382 BLTTDS.</w:t>
      </w:r>
    </w:p>
    <w:p>
      <w:pPr>
        <w:spacing w:before="240" w:after="120"/>
      </w:pPr>
      <w:r>
        <w:rPr>
          <w:b/>
          <w:color w:val="2E75B6"/>
          <w:sz w:val="26"/>
        </w:rPr>
        <w:t>6. Kết luận</w:t>
      </w:r>
    </w:p>
    <w:p>
      <w:pPr>
        <w:spacing w:after="120"/>
        <w:ind w:firstLine="567"/>
        <w:jc w:val="both"/>
      </w:pPr>
      <w:r>
        <w:rPr>
          <w:rFonts w:ascii="Times New Roman" w:hAnsi="Times New Roman"/>
          <w:sz w:val="26"/>
        </w:rPr>
        <w:t>Số liệu thực tiễn giai đoạn 2021–2025 về hoạt động giám đốc thẩm tại TAND tối cao cho thấy: thẩm quyền giám đốc thẩm theo Điều 382 BLTTDS 2015 (sửa đổi 2025) đang được thực thi nghiêm túc, đúng thời hạn pháp luật quy định, với xu hướng nâng cao chất lượng giải quyết. Tuy nhiên, thực tiễn cũng bộc lộ một số hạn chế cần được khắc phục trong thời gian tới:</w:t>
      </w:r>
    </w:p>
    <w:p>
      <w:pPr>
        <w:pStyle w:val="ListBullet"/>
        <w:spacing w:after="60"/>
        <w:jc w:val="both"/>
      </w:pPr>
      <w:r>
        <w:rPr>
          <w:rFonts w:ascii="Times New Roman" w:hAnsi="Times New Roman"/>
          <w:sz w:val="26"/>
        </w:rPr>
        <w:t xml:space="preserve">1. </w:t>
      </w:r>
      <w:r>
        <w:rPr>
          <w:rFonts w:ascii="Times New Roman" w:hAnsi="Times New Roman"/>
          <w:b/>
          <w:sz w:val="26"/>
        </w:rPr>
        <w:t>Cơ chế kiểm soát chất lượng kháng nghị</w:t>
      </w:r>
      <w:r>
        <w:rPr>
          <w:rFonts w:ascii="Times New Roman" w:hAnsi="Times New Roman"/>
          <w:sz w:val="26"/>
        </w:rPr>
        <w:t xml:space="preserve"> – đặc biệt đối với kháng nghị của Viện trưởng VKSNDTC;</w:t>
      </w:r>
    </w:p>
    <w:p>
      <w:pPr>
        <w:pStyle w:val="ListBullet"/>
        <w:spacing w:after="60"/>
        <w:jc w:val="both"/>
      </w:pPr>
      <w:r>
        <w:rPr>
          <w:rFonts w:ascii="Times New Roman" w:hAnsi="Times New Roman"/>
          <w:sz w:val="26"/>
        </w:rPr>
        <w:t xml:space="preserve">2. </w:t>
      </w:r>
      <w:r>
        <w:rPr>
          <w:rFonts w:ascii="Times New Roman" w:hAnsi="Times New Roman"/>
          <w:b/>
          <w:sz w:val="26"/>
        </w:rPr>
        <w:t>Phát triển án lệ</w:t>
      </w:r>
      <w:r>
        <w:rPr>
          <w:rFonts w:ascii="Times New Roman" w:hAnsi="Times New Roman"/>
          <w:sz w:val="26"/>
        </w:rPr>
        <w:t xml:space="preserve"> – để giám đốc thẩm thực sự là công cụ bảo đảm áp dụng thống nhất pháp luật;</w:t>
      </w:r>
    </w:p>
    <w:p>
      <w:pPr>
        <w:pStyle w:val="ListBullet"/>
        <w:spacing w:after="60"/>
        <w:jc w:val="both"/>
      </w:pPr>
      <w:r>
        <w:rPr>
          <w:rFonts w:ascii="Times New Roman" w:hAnsi="Times New Roman"/>
          <w:sz w:val="26"/>
        </w:rPr>
        <w:t xml:space="preserve">3. </w:t>
      </w:r>
      <w:r>
        <w:rPr>
          <w:rFonts w:ascii="Times New Roman" w:hAnsi="Times New Roman"/>
          <w:b/>
          <w:sz w:val="26"/>
        </w:rPr>
        <w:t>Cơ chế phát hiện oan sai chủ động</w:t>
      </w:r>
      <w:r>
        <w:rPr>
          <w:rFonts w:ascii="Times New Roman" w:hAnsi="Times New Roman"/>
          <w:sz w:val="26"/>
        </w:rPr>
        <w:t xml:space="preserve"> – đảm bảo mọi bản án vi phạm nghiêm trọng pháp luật đều có khả năng bị kháng nghị.</w:t>
      </w:r>
    </w:p>
    <w:p>
      <w:pPr>
        <w:spacing w:after="120"/>
        <w:ind w:firstLine="567"/>
        <w:jc w:val="both"/>
      </w:pPr>
      <w:r>
        <w:rPr>
          <w:rFonts w:ascii="Times New Roman" w:hAnsi="Times New Roman"/>
          <w:sz w:val="26"/>
        </w:rPr>
        <w:t>*Số liệu được tổng hợp từ báo cáo thống kê mẫu 1C của TAND tối cao, giai đoạn từ 01/10/2020 đến 30/09/2025.*</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