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color w:val="1F3964"/>
          <w:sz w:val="28"/>
        </w:rPr>
        <w:t>KẾT QUẢ THỰC TIỄN THẨM QUYỀN KHÁNG NGHỊ GIÁM ĐỐC THẨM</w:t>
      </w:r>
    </w:p>
    <w:p>
      <w:pPr>
        <w:spacing w:before="200" w:after="120"/>
        <w:jc w:val="center"/>
      </w:pPr>
      <w:r>
        <w:rPr>
          <w:rFonts w:ascii="Times New Roman" w:hAnsi="Times New Roman"/>
          <w:b/>
          <w:color w:val="1F3964"/>
          <w:sz w:val="28"/>
        </w:rPr>
        <w:t>THEO ĐIỀU 382 BỘ LUẬT TỐ TỤNG DÂN SỰ NĂM 2015 (SỬA ĐỔI, BỔ SUNG NĂM 2025)</w:t>
      </w:r>
    </w:p>
    <w:p>
      <w:pPr>
        <w:jc w:val="center"/>
      </w:pPr>
      <w:r>
        <w:rPr>
          <w:rFonts w:ascii="Times New Roman" w:hAnsi="Times New Roman"/>
          <w:i/>
          <w:sz w:val="24"/>
        </w:rPr>
        <w:t>(Tại Tòa án nhân dân tối cao, giai đoạn 2021–2025)</w:t>
      </w:r>
    </w:p>
    <w:p/>
    <w:p>
      <w:pPr>
        <w:spacing w:before="200" w:after="120"/>
      </w:pPr>
      <w:r>
        <w:rPr>
          <w:rFonts w:ascii="Times New Roman" w:hAnsi="Times New Roman"/>
          <w:b/>
          <w:color w:val="2E75B6"/>
          <w:sz w:val="26"/>
        </w:rPr>
        <w:t>Bảng 1. Số lượng kháng nghị giám đốc thẩm mới thụ lý theo chủ thể</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Năm</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Chánh án TANDTC</w:t>
              <w:br/>
              <w:t>kháng nghị (vụ)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Viện trưởng VKSNDTC</w:t>
              <w:br/>
              <w:t>kháng nghị (vụ)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Tổng KN mới</w:t>
              <w:br/>
              <w:t>(vụ)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Tổng số phải</w:t>
              <w:br/>
              <w:t>giải quyết (vụ)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Tổng số bị cáo</w:t>
              <w:br/>
              <w:t>phải giải quyết</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Tỷ lệ KN</w:t>
              <w:br/>
              <w:t>của Chánh án (%)</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Tỷ lệ KN</w:t>
              <w:br/>
              <w:t>của VT (%)</w:t>
            </w:r>
          </w:p>
        </w:tc>
      </w:tr>
      <w:tr>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2021</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28</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44</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72</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87</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179</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38.9%</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61.1%</w:t>
            </w:r>
          </w:p>
        </w:tc>
      </w:tr>
      <w:tr>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2022</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18</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22</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56</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98</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18.2%</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81.8%</w:t>
            </w:r>
          </w:p>
        </w:tc>
      </w:tr>
      <w:tr>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2023</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11</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9</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36</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60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55.0%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45.0%</w:t>
            </w:r>
          </w:p>
        </w:tc>
      </w:tr>
      <w:tr>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2024</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14</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11</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25</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30</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76</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56.0%</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44.0%</w:t>
            </w:r>
          </w:p>
        </w:tc>
      </w:tr>
      <w:tr>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2025</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12</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17</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23</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39</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29.4%</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70.6%</w:t>
            </w:r>
          </w:p>
        </w:tc>
      </w:tr>
      <w:tr>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Tổng</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62</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94</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156</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232</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452</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39.7%</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60.3%</w:t>
            </w:r>
          </w:p>
        </w:tc>
      </w:tr>
    </w:tbl>
    <w:p/>
    <w:p>
      <w:pPr>
        <w:spacing w:before="200" w:after="120"/>
      </w:pPr>
      <w:r>
        <w:rPr>
          <w:rFonts w:ascii="Times New Roman" w:hAnsi="Times New Roman"/>
          <w:b/>
          <w:color w:val="2E75B6"/>
          <w:sz w:val="26"/>
        </w:rPr>
        <w:t>Bảng 2. Tình hình rút kháng nghị giám đốc thẩm theo chủ thể</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Năm</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KN mới của</w:t>
              <w:br/>
              <w:t>Chánh án (vụ)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Chánh án</w:t>
              <w:br/>
              <w:t>rút KN (vụ)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Tỷ lệ rút</w:t>
              <w:br/>
              <w:t>của Chánh án (%)</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KN mới của</w:t>
              <w:br/>
              <w:t>Viện trưởng (vụ)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VT</w:t>
              <w:br/>
              <w:t>rút KN (vụ)</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Tỷ lệ rút</w:t>
              <w:br/>
              <w:t>của VT (%)</w:t>
            </w:r>
          </w:p>
        </w:tc>
        <w:tc>
          <w:tcPr>
            <w:tcW w:type="dxa" w:w="1176"/>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Tổng rút</w:t>
              <w:br/>
              <w:t>KN (vụ)</w:t>
            </w:r>
          </w:p>
        </w:tc>
      </w:tr>
      <w:tr>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2021</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28</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44</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2.3%</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w:t>
            </w:r>
          </w:p>
        </w:tc>
      </w:tr>
      <w:tr>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2022</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25.0%</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18</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8</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44.4%</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9</w:t>
            </w:r>
          </w:p>
        </w:tc>
      </w:tr>
      <w:tr>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2023</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11</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9</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44.4%</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w:t>
            </w:r>
          </w:p>
        </w:tc>
      </w:tr>
      <w:tr>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2024</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14</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0.0%</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11</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18.2%</w:t>
            </w:r>
          </w:p>
        </w:tc>
        <w:tc>
          <w:tcPr>
            <w:tcW w:type="dxa" w:w="1176"/>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w:t>
            </w:r>
          </w:p>
        </w:tc>
      </w:tr>
      <w:tr>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2025</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12</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6</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50.0%</w:t>
            </w:r>
          </w:p>
        </w:tc>
        <w:tc>
          <w:tcPr>
            <w:tcW w:type="dxa" w:w="1176"/>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6</w:t>
            </w:r>
          </w:p>
        </w:tc>
      </w:tr>
      <w:tr>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Tổng</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62</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1</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1.6%</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94</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21</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22.3%</w:t>
            </w:r>
          </w:p>
        </w:tc>
        <w:tc>
          <w:tcPr>
            <w:tcW w:type="dxa" w:w="1176"/>
            <w:shd w:val="clear" w:color="auto" w:fill="BDD7EE"/>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sz w:val="22"/>
              </w:rPr>
              <w:t>22</w:t>
            </w:r>
          </w:p>
        </w:tc>
      </w:tr>
    </w:tbl>
    <w:p/>
    <w:p>
      <w:pPr>
        <w:spacing w:before="200" w:after="120"/>
      </w:pPr>
      <w:r>
        <w:rPr>
          <w:rFonts w:ascii="Times New Roman" w:hAnsi="Times New Roman"/>
          <w:b/>
          <w:color w:val="2E75B6"/>
          <w:sz w:val="26"/>
        </w:rPr>
        <w:t>Bảng 3. Tình hình thụ lý và giải quyết kháng nghị giám đốc thẩm</w:t>
      </w:r>
    </w:p>
    <w:tbl>
      <w:tblPr>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Năm</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Cũ còn lại –</w:t>
              <w:br/>
              <w:t>Chánh án KN (vụ)</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Cũ còn lại –</w:t>
              <w:br/>
              <w:t>Viện trưởng KN (vụ)</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Tổng phải</w:t>
              <w:br/>
              <w:t>giải quyết (vụ)</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Đã xét xử</w:t>
              <w:br/>
              <w:t>theo KN Chánh án</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Đã xét xử</w:t>
              <w:br/>
              <w:t>theo KN VT</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Tổng đã</w:t>
              <w:br/>
              <w:t>xét xử (vụ)</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Còn lại</w:t>
              <w:br/>
              <w:t>(vụ)</w:t>
            </w:r>
          </w:p>
        </w:tc>
        <w:tc>
          <w:tcPr>
            <w:tcW w:type="dxa" w:w="1045"/>
            <w:shd w:val="clear" w:color="auto" w:fill="1F3964"/>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color w:val="FFFFFF"/>
                <w:sz w:val="22"/>
              </w:rPr>
              <w:t>Tỷ lệ giải</w:t>
              <w:br/>
              <w:t>quyết (%)</w:t>
            </w:r>
          </w:p>
        </w:tc>
      </w:tr>
      <w:tr>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2021</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11</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87</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30</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22</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53</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34</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60.9%</w:t>
            </w:r>
          </w:p>
        </w:tc>
      </w:tr>
      <w:tr>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2022</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32</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56</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26</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40</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16</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71.4%</w:t>
            </w:r>
          </w:p>
        </w:tc>
      </w:tr>
      <w:tr>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2023</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0</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16</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36</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10</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17</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31</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86.1%</w:t>
            </w:r>
          </w:p>
        </w:tc>
      </w:tr>
      <w:tr>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2024</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4</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30</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14</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8</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24</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6</w:t>
            </w:r>
          </w:p>
        </w:tc>
        <w:tc>
          <w:tcPr>
            <w:tcW w:type="dxa" w:w="1045"/>
            <w:shd w:val="clear" w:color="auto" w:fill="DEEAF1"/>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80.0%</w:t>
            </w:r>
          </w:p>
        </w:tc>
      </w:tr>
      <w:tr>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2025</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1</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5</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23</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6</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9</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21</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2</w:t>
            </w:r>
          </w:p>
        </w:tc>
        <w:tc>
          <w:tcPr>
            <w:tcW w:type="dxa" w:w="1045"/>
            <w:shd w:val="clear" w:color="auto" w:fill="FFFFFF"/>
            <w:tcBorders>
              <w:top w:val="single" w:sz="4" w:space="0" w:color="2E75B6"/>
              <w:left w:val="single" w:sz="4" w:space="0" w:color="2E75B6"/>
              <w:bottom w:val="single" w:sz="4" w:space="0" w:color="2E75B6"/>
              <w:right w:val="single" w:sz="4" w:space="0" w:color="2E75B6"/>
            </w:tcBorders>
          </w:tcPr>
          <w:p>
            <w:pPr>
              <w:jc w:val="center"/>
            </w:pPr>
            <w:r/>
            <w:r>
              <w:rPr>
                <w:rFonts w:ascii="Times New Roman" w:hAnsi="Times New Roman"/>
                <w:b w:val="0"/>
                <w:sz w:val="22"/>
              </w:rPr>
              <w:t>91.3%</w:t>
            </w:r>
          </w:p>
        </w:tc>
      </w:tr>
    </w:tbl>
    <w:p/>
    <w:p>
      <w:pPr>
        <w:spacing w:before="200" w:after="120"/>
      </w:pPr>
      <w:r>
        <w:rPr>
          <w:rFonts w:ascii="Times New Roman" w:hAnsi="Times New Roman"/>
          <w:b/>
          <w:color w:val="1F3964"/>
          <w:sz w:val="26"/>
        </w:rPr>
        <w:t>I. NHẬN XÉT VỀ THỰC TIỄN THẨM QUYỀN KHÁNG NGHỊ GIÁM ĐỐC THẨM</w:t>
      </w:r>
    </w:p>
    <w:p>
      <w:pPr>
        <w:spacing w:before="200" w:after="120"/>
      </w:pPr>
      <w:r>
        <w:rPr>
          <w:rFonts w:ascii="Times New Roman" w:hAnsi="Times New Roman"/>
          <w:b/>
          <w:color w:val="2E75B6"/>
          <w:sz w:val="26"/>
        </w:rPr>
        <w:t>1. Cơ sở pháp lý về thẩm quyền kháng nghị giám đốc thẩm</w:t>
      </w:r>
    </w:p>
    <w:p>
      <w:pPr>
        <w:spacing w:after="120"/>
        <w:ind w:firstLine="567"/>
        <w:jc w:val="both"/>
      </w:pPr>
      <w:r>
        <w:rPr>
          <w:rFonts w:ascii="Times New Roman" w:hAnsi="Times New Roman"/>
          <w:sz w:val="26"/>
        </w:rPr>
        <w:t xml:space="preserve">Theo Điều 382 Bộ luật Tố tụng dân sự năm 2015 (sửa đổi, bổ sung năm 2025), thẩm quyền kháng nghị theo thủ tục giám đốc thẩm thuộc về hai chủ thể: </w:t>
      </w:r>
      <w:r>
        <w:rPr>
          <w:rFonts w:ascii="Times New Roman" w:hAnsi="Times New Roman"/>
          <w:b/>
          <w:sz w:val="26"/>
        </w:rPr>
        <w:t>Chánh án Tòa án nhân dân tối cao</w:t>
      </w:r>
      <w:r>
        <w:rPr>
          <w:rFonts w:ascii="Times New Roman" w:hAnsi="Times New Roman"/>
          <w:sz w:val="26"/>
        </w:rPr>
        <w:t xml:space="preserve"> và </w:t>
      </w:r>
      <w:r>
        <w:rPr>
          <w:rFonts w:ascii="Times New Roman" w:hAnsi="Times New Roman"/>
          <w:b/>
          <w:sz w:val="26"/>
        </w:rPr>
        <w:t>Viện trưởng Viện kiểm sát nhân dân tối cao</w:t>
      </w:r>
      <w:r>
        <w:rPr>
          <w:rFonts w:ascii="Times New Roman" w:hAnsi="Times New Roman"/>
          <w:sz w:val="26"/>
        </w:rPr>
        <w:t>. Đây là cơ chế kiểm soát ngoại lệ nhằm bảo đảm tính đúng đắn của các bản án, quyết định đã có hiệu lực pháp luật nhưng có vi phạm nghiêm trọng về pháp luật.</w:t>
      </w:r>
    </w:p>
    <w:p>
      <w:pPr>
        <w:spacing w:before="200" w:after="120"/>
      </w:pPr>
      <w:r>
        <w:rPr>
          <w:rFonts w:ascii="Times New Roman" w:hAnsi="Times New Roman"/>
          <w:b/>
          <w:color w:val="2E75B6"/>
          <w:sz w:val="26"/>
        </w:rPr>
        <w:t>2. Xu hướng số lượng kháng nghị giảm mạnh qua các năm</w:t>
      </w:r>
    </w:p>
    <w:p>
      <w:pPr>
        <w:spacing w:after="120"/>
        <w:ind w:firstLine="567"/>
        <w:jc w:val="both"/>
      </w:pPr>
      <w:r>
        <w:rPr>
          <w:rFonts w:ascii="Times New Roman" w:hAnsi="Times New Roman"/>
          <w:sz w:val="26"/>
        </w:rPr>
        <w:t xml:space="preserve">Số lượng kháng nghị giám đốc thẩm mới thụ lý giảm từ </w:t>
      </w:r>
      <w:r>
        <w:rPr>
          <w:rFonts w:ascii="Times New Roman" w:hAnsi="Times New Roman"/>
          <w:b/>
          <w:sz w:val="26"/>
        </w:rPr>
        <w:t>72 vụ</w:t>
      </w:r>
      <w:r>
        <w:rPr>
          <w:rFonts w:ascii="Times New Roman" w:hAnsi="Times New Roman"/>
          <w:sz w:val="26"/>
        </w:rPr>
        <w:t xml:space="preserve"> (năm 2021) xuống còn </w:t>
      </w:r>
      <w:r>
        <w:rPr>
          <w:rFonts w:ascii="Times New Roman" w:hAnsi="Times New Roman"/>
          <w:b/>
          <w:sz w:val="26"/>
        </w:rPr>
        <w:t>17 vụ</w:t>
      </w:r>
      <w:r>
        <w:rPr>
          <w:rFonts w:ascii="Times New Roman" w:hAnsi="Times New Roman"/>
          <w:sz w:val="26"/>
        </w:rPr>
        <w:t xml:space="preserve"> (năm 2025), tương ứng mức giảm </w:t>
      </w:r>
      <w:r>
        <w:rPr>
          <w:rFonts w:ascii="Times New Roman" w:hAnsi="Times New Roman"/>
          <w:b/>
          <w:sz w:val="26"/>
        </w:rPr>
        <w:t>76,4%</w:t>
      </w:r>
      <w:r>
        <w:rPr>
          <w:rFonts w:ascii="Times New Roman" w:hAnsi="Times New Roman"/>
          <w:sz w:val="26"/>
        </w:rPr>
        <w:t>. Xu hướng này phản ánh một số thực tế tích cực:</w:t>
      </w:r>
    </w:p>
    <w:p>
      <w:pPr>
        <w:pStyle w:val="ListBullet"/>
        <w:spacing w:after="60"/>
        <w:jc w:val="both"/>
      </w:pPr>
      <w:r>
        <w:rPr>
          <w:rFonts w:ascii="Times New Roman" w:hAnsi="Times New Roman"/>
          <w:sz w:val="26"/>
        </w:rPr>
        <w:t>Chất lượng xét xử ở cấp sơ thẩm và phúc thẩm ngày càng được nâng cao, số lượng bản án có vi phạm cần kháng nghị giảm dần;</w:t>
      </w:r>
    </w:p>
    <w:p>
      <w:pPr>
        <w:pStyle w:val="ListBullet"/>
        <w:spacing w:after="60"/>
        <w:jc w:val="both"/>
      </w:pPr>
      <w:r>
        <w:rPr>
          <w:rFonts w:ascii="Times New Roman" w:hAnsi="Times New Roman"/>
          <w:sz w:val="26"/>
        </w:rPr>
        <w:t>Công tác thẩm tra, sàng lọc hồ sơ đề nghị giám đốc thẩm được thực hiện chặt chẽ hơn — chỉ những vụ có căn cứ vững chắc mới được kháng nghị;</w:t>
      </w:r>
    </w:p>
    <w:p>
      <w:pPr>
        <w:pStyle w:val="ListBullet"/>
        <w:spacing w:after="60"/>
        <w:jc w:val="both"/>
      </w:pPr>
      <w:r>
        <w:rPr>
          <w:rFonts w:ascii="Times New Roman" w:hAnsi="Times New Roman"/>
          <w:sz w:val="26"/>
        </w:rPr>
        <w:t>Các hướng dẫn áp dụng pháp luật thống nhất qua nghị quyết của Hội đồng thẩm phán TAND tối cao và hệ thống án lệ phát huy hiệu quả.</w:t>
      </w:r>
    </w:p>
    <w:p>
      <w:pPr>
        <w:spacing w:after="120"/>
        <w:ind w:firstLine="567"/>
        <w:jc w:val="both"/>
      </w:pPr>
      <w:r>
        <w:rPr>
          <w:rFonts w:ascii="Times New Roman" w:hAnsi="Times New Roman"/>
          <w:sz w:val="26"/>
        </w:rPr>
        <w:t>Tuy nhiên, cần thận trọng với nhận định này vì sự sụt giảm đột ngột cũng có thể phản ánh những hạn chế trong công tác phát hiện, kiến nghị giám đốc thẩm từ các cấp.</w:t>
      </w:r>
    </w:p>
    <w:p>
      <w:pPr>
        <w:spacing w:before="200" w:after="120"/>
      </w:pPr>
      <w:r>
        <w:rPr>
          <w:rFonts w:ascii="Times New Roman" w:hAnsi="Times New Roman"/>
          <w:b/>
          <w:color w:val="2E75B6"/>
          <w:sz w:val="26"/>
        </w:rPr>
        <w:t>3. So sánh vai trò hai chủ thể kháng nghị</w:t>
      </w:r>
    </w:p>
    <w:p>
      <w:pPr>
        <w:spacing w:after="120"/>
        <w:ind w:firstLine="567"/>
        <w:jc w:val="both"/>
      </w:pPr>
      <w:r>
        <w:rPr>
          <w:rFonts w:ascii="Times New Roman" w:hAnsi="Times New Roman"/>
          <w:sz w:val="26"/>
        </w:rPr>
        <w:t xml:space="preserve">Trong toàn giai đoạn 2021–2025, </w:t>
      </w:r>
      <w:r>
        <w:rPr>
          <w:rFonts w:ascii="Times New Roman" w:hAnsi="Times New Roman"/>
          <w:b/>
          <w:sz w:val="26"/>
        </w:rPr>
        <w:t>Viện trưởng VKSNDTC</w:t>
      </w:r>
      <w:r>
        <w:rPr>
          <w:rFonts w:ascii="Times New Roman" w:hAnsi="Times New Roman"/>
          <w:sz w:val="26"/>
        </w:rPr>
        <w:t xml:space="preserve"> ban hành nhiều kháng nghị hơn với tổng </w:t>
      </w:r>
      <w:r>
        <w:rPr>
          <w:rFonts w:ascii="Times New Roman" w:hAnsi="Times New Roman"/>
          <w:b/>
          <w:sz w:val="26"/>
        </w:rPr>
        <w:t>94 vụ</w:t>
      </w:r>
      <w:r>
        <w:rPr>
          <w:rFonts w:ascii="Times New Roman" w:hAnsi="Times New Roman"/>
          <w:sz w:val="26"/>
        </w:rPr>
        <w:t xml:space="preserve"> (chiếm </w:t>
      </w:r>
      <w:r>
        <w:rPr>
          <w:rFonts w:ascii="Times New Roman" w:hAnsi="Times New Roman"/>
          <w:b/>
          <w:sz w:val="26"/>
        </w:rPr>
        <w:t>60,3%</w:t>
      </w:r>
      <w:r>
        <w:rPr>
          <w:rFonts w:ascii="Times New Roman" w:hAnsi="Times New Roman"/>
          <w:sz w:val="26"/>
        </w:rPr>
        <w:t xml:space="preserve"> tổng kháng nghị), trong khi </w:t>
      </w:r>
      <w:r>
        <w:rPr>
          <w:rFonts w:ascii="Times New Roman" w:hAnsi="Times New Roman"/>
          <w:b/>
          <w:sz w:val="26"/>
        </w:rPr>
        <w:t>Chánh án TANDTC</w:t>
      </w:r>
      <w:r>
        <w:rPr>
          <w:rFonts w:ascii="Times New Roman" w:hAnsi="Times New Roman"/>
          <w:sz w:val="26"/>
        </w:rPr>
        <w:t xml:space="preserve"> kháng nghị </w:t>
      </w:r>
      <w:r>
        <w:rPr>
          <w:rFonts w:ascii="Times New Roman" w:hAnsi="Times New Roman"/>
          <w:b/>
          <w:sz w:val="26"/>
        </w:rPr>
        <w:t>62 vụ</w:t>
      </w:r>
      <w:r>
        <w:rPr>
          <w:rFonts w:ascii="Times New Roman" w:hAnsi="Times New Roman"/>
          <w:sz w:val="26"/>
        </w:rPr>
        <w:t xml:space="preserve"> (chiếm </w:t>
      </w:r>
      <w:r>
        <w:rPr>
          <w:rFonts w:ascii="Times New Roman" w:hAnsi="Times New Roman"/>
          <w:b/>
          <w:sz w:val="26"/>
        </w:rPr>
        <w:t>39,7%</w:t>
      </w:r>
      <w:r>
        <w:rPr>
          <w:rFonts w:ascii="Times New Roman" w:hAnsi="Times New Roman"/>
          <w:sz w:val="26"/>
        </w:rPr>
        <w:t>). Điều này phù hợp với chức năng thực hành quyền công tố và kiểm sát hoạt động tư pháp của Viện kiểm sát.</w:t>
      </w:r>
    </w:p>
    <w:p>
      <w:pPr>
        <w:spacing w:after="120"/>
        <w:ind w:firstLine="567"/>
        <w:jc w:val="both"/>
      </w:pPr>
      <w:r>
        <w:rPr>
          <w:rFonts w:ascii="Times New Roman" w:hAnsi="Times New Roman"/>
          <w:sz w:val="26"/>
        </w:rPr>
        <w:t xml:space="preserve">Tuy nhiên, </w:t>
      </w:r>
      <w:r>
        <w:rPr>
          <w:rFonts w:ascii="Times New Roman" w:hAnsi="Times New Roman"/>
          <w:b/>
          <w:sz w:val="26"/>
        </w:rPr>
        <w:t>tỷ lệ rút kháng nghị</w:t>
      </w:r>
      <w:r>
        <w:rPr>
          <w:rFonts w:ascii="Times New Roman" w:hAnsi="Times New Roman"/>
          <w:sz w:val="26"/>
        </w:rPr>
        <w:t xml:space="preserve"> cho thấy sự khác biệt đáng kể: Viện trưởng VKSNDTC rút tổng cộng </w:t>
      </w:r>
      <w:r>
        <w:rPr>
          <w:rFonts w:ascii="Times New Roman" w:hAnsi="Times New Roman"/>
          <w:b/>
          <w:sz w:val="26"/>
        </w:rPr>
        <w:t>21 vụ</w:t>
      </w:r>
      <w:r>
        <w:rPr>
          <w:rFonts w:ascii="Times New Roman" w:hAnsi="Times New Roman"/>
          <w:sz w:val="26"/>
        </w:rPr>
        <w:t xml:space="preserve"> (tỷ lệ </w:t>
      </w:r>
      <w:r>
        <w:rPr>
          <w:rFonts w:ascii="Times New Roman" w:hAnsi="Times New Roman"/>
          <w:b/>
          <w:sz w:val="26"/>
        </w:rPr>
        <w:t>22,3%</w:t>
      </w:r>
      <w:r>
        <w:rPr>
          <w:rFonts w:ascii="Times New Roman" w:hAnsi="Times New Roman"/>
          <w:sz w:val="26"/>
        </w:rPr>
        <w:t xml:space="preserve"> so với số kháng nghị mới), trong khi Chánh án TANDTC chỉ rút </w:t>
      </w:r>
      <w:r>
        <w:rPr>
          <w:rFonts w:ascii="Times New Roman" w:hAnsi="Times New Roman"/>
          <w:b/>
          <w:sz w:val="26"/>
        </w:rPr>
        <w:t>1 vụ</w:t>
      </w:r>
      <w:r>
        <w:rPr>
          <w:rFonts w:ascii="Times New Roman" w:hAnsi="Times New Roman"/>
          <w:sz w:val="26"/>
        </w:rPr>
        <w:t xml:space="preserve"> (tỷ lệ </w:t>
      </w:r>
      <w:r>
        <w:rPr>
          <w:rFonts w:ascii="Times New Roman" w:hAnsi="Times New Roman"/>
          <w:b/>
          <w:sz w:val="26"/>
        </w:rPr>
        <w:t>1,6%</w:t>
      </w:r>
      <w:r>
        <w:rPr>
          <w:rFonts w:ascii="Times New Roman" w:hAnsi="Times New Roman"/>
          <w:sz w:val="26"/>
        </w:rPr>
        <w:t xml:space="preserve">). Đây là vấn đề cần chú ý — tỷ lệ rút kháng nghị cao của VKSNDTC đặt ra câu hỏi về </w:t>
      </w:r>
      <w:r>
        <w:rPr>
          <w:rFonts w:ascii="Times New Roman" w:hAnsi="Times New Roman"/>
          <w:b/>
          <w:sz w:val="26"/>
        </w:rPr>
        <w:t>chất lượng và tính thận trọng</w:t>
      </w:r>
      <w:r>
        <w:rPr>
          <w:rFonts w:ascii="Times New Roman" w:hAnsi="Times New Roman"/>
          <w:sz w:val="26"/>
        </w:rPr>
        <w:t xml:space="preserve"> trong quá trình ban hành quyết định kháng nghị.</w:t>
      </w:r>
    </w:p>
    <w:p>
      <w:pPr>
        <w:spacing w:before="200" w:after="120"/>
      </w:pPr>
      <w:r>
        <w:rPr>
          <w:rFonts w:ascii="Times New Roman" w:hAnsi="Times New Roman"/>
          <w:b/>
          <w:color w:val="2E75B6"/>
          <w:sz w:val="26"/>
        </w:rPr>
        <w:t>4. Tình hình giải quyết kháng nghị</w:t>
      </w:r>
    </w:p>
    <w:p>
      <w:pPr>
        <w:spacing w:after="120"/>
        <w:ind w:firstLine="567"/>
        <w:jc w:val="both"/>
      </w:pPr>
      <w:r>
        <w:rPr>
          <w:rFonts w:ascii="Times New Roman" w:hAnsi="Times New Roman"/>
          <w:sz w:val="26"/>
        </w:rPr>
        <w:t xml:space="preserve">Tỷ lệ giải quyết kháng nghị cải thiện rõ rệt từ </w:t>
      </w:r>
      <w:r>
        <w:rPr>
          <w:rFonts w:ascii="Times New Roman" w:hAnsi="Times New Roman"/>
          <w:b/>
          <w:sz w:val="26"/>
        </w:rPr>
        <w:t>60,9%</w:t>
      </w:r>
      <w:r>
        <w:rPr>
          <w:rFonts w:ascii="Times New Roman" w:hAnsi="Times New Roman"/>
          <w:sz w:val="26"/>
        </w:rPr>
        <w:t xml:space="preserve"> (năm 2021) lên </w:t>
      </w:r>
      <w:r>
        <w:rPr>
          <w:rFonts w:ascii="Times New Roman" w:hAnsi="Times New Roman"/>
          <w:b/>
          <w:sz w:val="26"/>
        </w:rPr>
        <w:t>91,3%</w:t>
      </w:r>
      <w:r>
        <w:rPr>
          <w:rFonts w:ascii="Times New Roman" w:hAnsi="Times New Roman"/>
          <w:sz w:val="26"/>
        </w:rPr>
        <w:t xml:space="preserve"> (năm 2025). Đặc biệt, </w:t>
      </w:r>
      <w:r>
        <w:rPr>
          <w:rFonts w:ascii="Times New Roman" w:hAnsi="Times New Roman"/>
          <w:b/>
          <w:sz w:val="26"/>
        </w:rPr>
        <w:t>không có vụ án nào giải quyết quá hạn</w:t>
      </w:r>
      <w:r>
        <w:rPr>
          <w:rFonts w:ascii="Times New Roman" w:hAnsi="Times New Roman"/>
          <w:sz w:val="26"/>
        </w:rPr>
        <w:t xml:space="preserve"> trong suốt giai đoạn khảo sát, thể hiện sự tuân thủ nghiêm túc các quy định về thời hạn xét xử giám đốc thẩm. Số vụ tồn đọng (còn lại) cũng giảm mạnh từ </w:t>
      </w:r>
      <w:r>
        <w:rPr>
          <w:rFonts w:ascii="Times New Roman" w:hAnsi="Times New Roman"/>
          <w:b/>
          <w:sz w:val="26"/>
        </w:rPr>
        <w:t>34 vụ</w:t>
      </w:r>
      <w:r>
        <w:rPr>
          <w:rFonts w:ascii="Times New Roman" w:hAnsi="Times New Roman"/>
          <w:sz w:val="26"/>
        </w:rPr>
        <w:t xml:space="preserve"> (năm 2021) xuống còn </w:t>
      </w:r>
      <w:r>
        <w:rPr>
          <w:rFonts w:ascii="Times New Roman" w:hAnsi="Times New Roman"/>
          <w:b/>
          <w:sz w:val="26"/>
        </w:rPr>
        <w:t>2 vụ</w:t>
      </w:r>
      <w:r>
        <w:rPr>
          <w:rFonts w:ascii="Times New Roman" w:hAnsi="Times New Roman"/>
          <w:sz w:val="26"/>
        </w:rPr>
        <w:t xml:space="preserve"> (năm 2025).</w:t>
      </w:r>
    </w:p>
    <w:p>
      <w:pPr>
        <w:spacing w:before="200" w:after="120"/>
      </w:pPr>
      <w:r>
        <w:rPr>
          <w:rFonts w:ascii="Times New Roman" w:hAnsi="Times New Roman"/>
          <w:b/>
          <w:color w:val="2E75B6"/>
          <w:sz w:val="26"/>
        </w:rPr>
        <w:t>5. Kiến nghị hoàn thiện</w:t>
      </w:r>
    </w:p>
    <w:p>
      <w:pPr>
        <w:spacing w:after="120"/>
        <w:ind w:firstLine="567"/>
        <w:jc w:val="both"/>
      </w:pPr>
      <w:r>
        <w:rPr>
          <w:rFonts w:ascii="Times New Roman" w:hAnsi="Times New Roman"/>
          <w:sz w:val="26"/>
        </w:rPr>
        <w:t>Từ thực tiễn trên, có thể đưa ra một số kiến nghị liên quan đến thẩm quyền kháng nghị giám đốc thẩm theo Điều 382 BLTTDS:</w:t>
      </w:r>
    </w:p>
    <w:p>
      <w:pPr>
        <w:pStyle w:val="ListBullet"/>
        <w:spacing w:after="60"/>
        <w:jc w:val="both"/>
      </w:pPr>
      <w:r>
        <w:rPr>
          <w:rFonts w:ascii="Times New Roman" w:hAnsi="Times New Roman"/>
          <w:sz w:val="26"/>
        </w:rPr>
      </w:r>
      <w:r>
        <w:rPr>
          <w:rFonts w:ascii="Times New Roman" w:hAnsi="Times New Roman"/>
          <w:b/>
          <w:sz w:val="26"/>
        </w:rPr>
        <w:t>Về cơ chế kiểm soát chất lượng kháng nghị:</w:t>
      </w:r>
      <w:r>
        <w:rPr>
          <w:rFonts w:ascii="Times New Roman" w:hAnsi="Times New Roman"/>
          <w:sz w:val="26"/>
        </w:rPr>
        <w:t xml:space="preserve"> Cần quy định rõ ràng hơn về quy trình thẩm tra nội bộ trước khi ban hành kháng nghị, đặc biệt đối với VKSND các cấp, nhằm hạn chế tình trạng kháng nghị rồi rút kháng nghị gây lãng phí tài nguyên tư pháp;</w:t>
      </w:r>
    </w:p>
    <w:p>
      <w:pPr>
        <w:pStyle w:val="ListBullet"/>
        <w:spacing w:after="60"/>
        <w:jc w:val="both"/>
      </w:pPr>
      <w:r>
        <w:rPr>
          <w:rFonts w:ascii="Times New Roman" w:hAnsi="Times New Roman"/>
          <w:sz w:val="26"/>
        </w:rPr>
      </w:r>
      <w:r>
        <w:rPr>
          <w:rFonts w:ascii="Times New Roman" w:hAnsi="Times New Roman"/>
          <w:b/>
          <w:sz w:val="26"/>
        </w:rPr>
        <w:t>Về thời hạn kháng nghị:</w:t>
      </w:r>
      <w:r>
        <w:rPr>
          <w:rFonts w:ascii="Times New Roman" w:hAnsi="Times New Roman"/>
          <w:sz w:val="26"/>
        </w:rPr>
        <w:t xml:space="preserve"> Pháp luật hiện hành cần quy định rõ hậu quả pháp lý trong trường hợp kháng nghị bị rút để bảo đảm tính nghiêm minh và uy tín của cơ quan có thẩm quyền kháng nghị;</w:t>
      </w:r>
    </w:p>
    <w:p>
      <w:pPr>
        <w:pStyle w:val="ListBullet"/>
        <w:spacing w:after="60"/>
        <w:jc w:val="both"/>
      </w:pPr>
      <w:r>
        <w:rPr>
          <w:rFonts w:ascii="Times New Roman" w:hAnsi="Times New Roman"/>
          <w:sz w:val="26"/>
        </w:rPr>
      </w:r>
      <w:r>
        <w:rPr>
          <w:rFonts w:ascii="Times New Roman" w:hAnsi="Times New Roman"/>
          <w:b/>
          <w:sz w:val="26"/>
        </w:rPr>
        <w:t>Về phân cấp thẩm quyền:</w:t>
      </w:r>
      <w:r>
        <w:rPr>
          <w:rFonts w:ascii="Times New Roman" w:hAnsi="Times New Roman"/>
          <w:sz w:val="26"/>
        </w:rPr>
        <w:t xml:space="preserve"> Cần rà soát việc phân công kháng nghị giữa Chánh án TAND cấp cao và Chánh án TANDTC để bảo đảm tính hợp lý, tránh tập trung quá nhiều vụ việc vào một đầu mối.</w:t>
      </w:r>
    </w:p>
    <w:p/>
    <w:p>
      <w:pPr>
        <w:jc w:val="center"/>
      </w:pPr>
      <w:r>
        <w:rPr>
          <w:rFonts w:ascii="Times New Roman" w:hAnsi="Times New Roman"/>
          <w:i/>
          <w:sz w:val="22"/>
        </w:rPr>
        <w:t>Nguồn: Thống kê thụ lý và giải quyết các vụ án hình sự giám đốc thẩm – Mẫu 1C, TAND tối cao (01/10/2020 – 30/09/2025).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