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40"/>
        </w:rPr>
        <w:t>FLW Retention &amp; Engagement — Executive Analysis</w:t>
      </w:r>
    </w:p>
    <w:p>
      <w:pPr>
        <w:spacing w:after="20"/>
      </w:pPr>
      <w:r>
        <w:rPr>
          <w:b w:val="0"/>
          <w:i/>
          <w:color w:val="6B7280"/>
          <w:sz w:val="18"/>
        </w:rPr>
        <w:t>Connect Interviews program · per-FLW, cross-cohort · data as of 2026-08-07</w:t>
      </w:r>
    </w:p>
    <w:p>
      <w:pPr>
        <w:spacing w:after="200"/>
      </w:pPr>
      <w:r>
        <w:rPr>
          <w:b w:val="0"/>
          <w:i/>
          <w:color w:val="6B7280"/>
          <w:sz w:val="18"/>
        </w:rPr>
        <w:t>Universe: 1,441 unique front-line workers (FLWs) who started ≥ 1 interview · 100% demographic coverage · every metric dedups the worker across all cohorts/arms they were part of. Figures match the live dashboard (FLW Retention tab) — generated from the same data.</w:t>
      </w:r>
    </w:p>
    <w:p>
      <w:pPr>
        <w:pStyle w:val="Heading1"/>
      </w:pPr>
      <w:r>
        <w:rPr>
          <w:color w:val="1F3864"/>
        </w:rPr>
        <w:t>Why this analysis exists</w:t>
      </w:r>
    </w:p>
    <w:p>
      <w:pPr>
        <w:spacing w:after="120"/>
      </w:pPr>
      <w:r>
        <w:rPr>
          <w:b w:val="0"/>
        </w:rPr>
        <w:t>Every other view of this program is cohort-level — how a study arm performed. This one looks at the program through the worker: one row per unique FLW, their interview history stitched across every cohort and arm they touched. That matters because most workers are re-used across studies — so the worker's cumulative experience, not any single cohort, drives whether they stay engaged. This lens tells us who the program retains, when it loses people, and what to do about it.</w:t>
      </w:r>
    </w:p>
    <w:p>
      <w:pPr>
        <w:pStyle w:val="Heading1"/>
      </w:pPr>
      <w:r>
        <w:rPr>
          <w:color w:val="1F3864"/>
        </w:rPr>
        <w:t>Executive summary</w:t>
      </w:r>
    </w:p>
    <w:p>
      <w:pPr>
        <w:pStyle w:val="ListNumber"/>
        <w:spacing w:after="60"/>
      </w:pPr>
      <w:r>
        <w:rPr>
          <w:b w:val="0"/>
        </w:rPr>
        <w:t xml:space="preserve">Engagement is fundamentally healthy. </w:t>
      </w:r>
      <w:r>
        <w:rPr>
          <w:b/>
        </w:rPr>
        <w:t>78%</w:t>
      </w:r>
      <w:r>
        <w:rPr>
          <w:b w:val="0"/>
        </w:rPr>
        <w:t xml:space="preserve"> of workers are reliable engagers (</w:t>
      </w:r>
      <w:r>
        <w:rPr>
          <w:b/>
        </w:rPr>
        <w:t>19%</w:t>
      </w:r>
      <w:r>
        <w:rPr>
          <w:b w:val="0"/>
        </w:rPr>
        <w:t xml:space="preserve"> Champions, </w:t>
      </w:r>
      <w:r>
        <w:rPr>
          <w:b/>
        </w:rPr>
        <w:t>59%</w:t>
      </w:r>
      <w:r>
        <w:rPr>
          <w:b w:val="0"/>
        </w:rPr>
        <w:t xml:space="preserve"> Steady finishers). Genuine early loss is small — </w:t>
      </w:r>
      <w:r>
        <w:rPr>
          <w:b/>
        </w:rPr>
        <w:t>9%</w:t>
      </w:r>
      <w:r>
        <w:rPr>
          <w:b w:val="0"/>
        </w:rPr>
        <w:t xml:space="preserve"> one-and-done.</w:t>
      </w:r>
    </w:p>
    <w:p>
      <w:pPr>
        <w:pStyle w:val="ListNumber"/>
        <w:spacing w:after="60"/>
      </w:pPr>
      <w:r>
        <w:rPr>
          <w:b w:val="0"/>
        </w:rPr>
        <w:t xml:space="preserve">Re-using workers is our biggest engagement asset — and it compounds. Finish rate climbs with each additional cohort: </w:t>
      </w:r>
      <w:r>
        <w:rPr>
          <w:b/>
        </w:rPr>
        <w:t>44% → 88%</w:t>
      </w:r>
      <w:r>
        <w:rPr>
          <w:b w:val="0"/>
        </w:rPr>
        <w:t xml:space="preserve"> (single → multi-cohort), and answer depth rises with it (168 → 246 words/session).</w:t>
      </w:r>
    </w:p>
    <w:p>
      <w:pPr>
        <w:pStyle w:val="ListNumber"/>
        <w:spacing w:after="60"/>
      </w:pPr>
      <w:r>
        <w:rPr>
          <w:b w:val="0"/>
        </w:rPr>
        <w:t xml:space="preserve">The drop-off has a clear face. One-and-done workers are disproportionately </w:t>
      </w:r>
      <w:r>
        <w:rPr>
          <w:b/>
        </w:rPr>
        <w:t>Sokoto (49%)</w:t>
      </w:r>
      <w:r>
        <w:rPr>
          <w:b w:val="0"/>
        </w:rPr>
        <w:t xml:space="preserve">, </w:t>
      </w:r>
      <w:r>
        <w:rPr>
          <w:b/>
        </w:rPr>
        <w:t>single-cohort (96%)</w:t>
      </w:r>
      <w:r>
        <w:rPr>
          <w:b w:val="0"/>
        </w:rPr>
        <w:t xml:space="preserve">, and </w:t>
      </w:r>
      <w:r>
        <w:rPr>
          <w:b/>
        </w:rPr>
        <w:t>chew cadre (44%)</w:t>
      </w:r>
      <w:r>
        <w:rPr>
          <w:b w:val="0"/>
        </w:rPr>
        <w:t>.</w:t>
      </w:r>
    </w:p>
    <w:p>
      <w:pPr>
        <w:pStyle w:val="ListNumber"/>
        <w:spacing w:after="60"/>
      </w:pPr>
      <w:r>
        <w:rPr>
          <w:b w:val="0"/>
        </w:rPr>
        <w:t xml:space="preserve">The retention lever is the first interview. Workers with above-median answer depth finish at </w:t>
      </w:r>
      <w:r>
        <w:rPr>
          <w:b/>
        </w:rPr>
        <w:t>88%</w:t>
      </w:r>
      <w:r>
        <w:rPr>
          <w:b w:val="0"/>
        </w:rPr>
        <w:t xml:space="preserve"> vs </w:t>
      </w:r>
      <w:r>
        <w:rPr>
          <w:b/>
        </w:rPr>
        <w:t>68%</w:t>
      </w:r>
      <w:r>
        <w:rPr>
          <w:b w:val="0"/>
        </w:rPr>
        <w:t xml:space="preserve"> below.</w:t>
      </w:r>
    </w:p>
    <w:p>
      <w:pPr>
        <w:pStyle w:val="ListNumber"/>
        <w:spacing w:after="60"/>
      </w:pPr>
      <w:r>
        <w:rPr>
          <w:b w:val="0"/>
        </w:rPr>
        <w:t xml:space="preserve">The recoverable at-risk pool is small and targetable — </w:t>
      </w:r>
      <w:r>
        <w:rPr>
          <w:b/>
        </w:rPr>
        <w:t>51 workers</w:t>
      </w:r>
      <w:r>
        <w:rPr>
          <w:b w:val="0"/>
        </w:rPr>
        <w:t xml:space="preserve"> (started, not finished, silent 14–60 days).</w:t>
      </w:r>
    </w:p>
    <w:p>
      <w:pPr>
        <w:pStyle w:val="Heading1"/>
      </w:pPr>
      <w:r>
        <w:rPr>
          <w:color w:val="1F3864"/>
        </w:rPr>
        <w:t>1. The engagement landscape</w:t>
      </w:r>
    </w:p>
    <w:p>
      <w:pPr>
        <w:spacing w:after="120"/>
      </w:pPr>
      <w:r>
        <w:rPr>
          <w:b w:val="0"/>
        </w:rPr>
        <w:t>Behavioral personas (rule-based segments over the worker's whole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Persona</w:t>
            </w:r>
          </w:p>
        </w:tc>
        <w:tc>
          <w:tcPr>
            <w:tcW w:type="dxa" w:w="2160"/>
          </w:tcPr>
          <w:p>
            <w:r>
              <w:rPr>
                <w:b/>
                <w:sz w:val="19"/>
              </w:rPr>
              <w:t>Count</w:t>
            </w:r>
          </w:p>
        </w:tc>
        <w:tc>
          <w:tcPr>
            <w:tcW w:type="dxa" w:w="2160"/>
          </w:tcPr>
          <w:p>
            <w:r>
              <w:rPr>
                <w:b/>
                <w:sz w:val="19"/>
              </w:rPr>
              <w:t>Share</w:t>
            </w:r>
          </w:p>
        </w:tc>
        <w:tc>
          <w:tcPr>
            <w:tcW w:type="dxa" w:w="2160"/>
          </w:tcPr>
          <w:p>
            <w:r>
              <w:rPr>
                <w:b/>
                <w:sz w:val="19"/>
              </w:rPr>
              <w:t>What it means</w:t>
            </w:r>
          </w:p>
        </w:tc>
      </w:tr>
      <w:tr>
        <w:tc>
          <w:tcPr>
            <w:tcW w:type="dxa" w:w="2160"/>
          </w:tcPr>
          <w:p>
            <w:r>
              <w:rPr>
                <w:b/>
                <w:sz w:val="19"/>
              </w:rPr>
              <w:t>Champion</w:t>
            </w:r>
          </w:p>
        </w:tc>
        <w:tc>
          <w:tcPr>
            <w:tcW w:type="dxa" w:w="2160"/>
          </w:tcPr>
          <w:p>
            <w:r>
              <w:rPr>
                <w:sz w:val="19"/>
              </w:rPr>
              <w:t>275</w:t>
            </w:r>
          </w:p>
        </w:tc>
        <w:tc>
          <w:tcPr>
            <w:tcW w:type="dxa" w:w="2160"/>
          </w:tcPr>
          <w:p>
            <w:r>
              <w:rPr>
                <w:sz w:val="19"/>
              </w:rPr>
              <w:t>19%</w:t>
            </w:r>
          </w:p>
        </w:tc>
        <w:tc>
          <w:tcPr>
            <w:tcW w:type="dxa" w:w="2160"/>
          </w:tcPr>
          <w:p>
            <w:r>
              <w:rPr>
                <w:sz w:val="19"/>
              </w:rPr>
              <w:t>Finishes, steady cadence, high depth — the backbone</w:t>
            </w:r>
          </w:p>
        </w:tc>
      </w:tr>
      <w:tr>
        <w:tc>
          <w:tcPr>
            <w:tcW w:type="dxa" w:w="2160"/>
          </w:tcPr>
          <w:p>
            <w:r>
              <w:rPr>
                <w:b/>
                <w:sz w:val="19"/>
              </w:rPr>
              <w:t>Steady finisher</w:t>
            </w:r>
          </w:p>
        </w:tc>
        <w:tc>
          <w:tcPr>
            <w:tcW w:type="dxa" w:w="2160"/>
          </w:tcPr>
          <w:p>
            <w:r>
              <w:rPr>
                <w:sz w:val="19"/>
              </w:rPr>
              <w:t>850</w:t>
            </w:r>
          </w:p>
        </w:tc>
        <w:tc>
          <w:tcPr>
            <w:tcW w:type="dxa" w:w="2160"/>
          </w:tcPr>
          <w:p>
            <w:r>
              <w:rPr>
                <w:sz w:val="19"/>
              </w:rPr>
              <w:t>59%</w:t>
            </w:r>
          </w:p>
        </w:tc>
        <w:tc>
          <w:tcPr>
            <w:tcW w:type="dxa" w:w="2160"/>
          </w:tcPr>
          <w:p>
            <w:r>
              <w:rPr>
                <w:sz w:val="19"/>
              </w:rPr>
              <w:t>Completes their schedule reliably</w:t>
            </w:r>
          </w:p>
        </w:tc>
      </w:tr>
      <w:tr>
        <w:tc>
          <w:tcPr>
            <w:tcW w:type="dxa" w:w="2160"/>
          </w:tcPr>
          <w:p>
            <w:r>
              <w:rPr>
                <w:b/>
                <w:sz w:val="19"/>
              </w:rPr>
              <w:t>Slow-but-finishing</w:t>
            </w:r>
          </w:p>
        </w:tc>
        <w:tc>
          <w:tcPr>
            <w:tcW w:type="dxa" w:w="2160"/>
          </w:tcPr>
          <w:p>
            <w:r>
              <w:rPr>
                <w:sz w:val="19"/>
              </w:rPr>
              <w:t>129</w:t>
            </w:r>
          </w:p>
        </w:tc>
        <w:tc>
          <w:tcPr>
            <w:tcW w:type="dxa" w:w="2160"/>
          </w:tcPr>
          <w:p>
            <w:r>
              <w:rPr>
                <w:sz w:val="19"/>
              </w:rPr>
              <w:t>9%</w:t>
            </w:r>
          </w:p>
        </w:tc>
        <w:tc>
          <w:tcPr>
            <w:tcW w:type="dxa" w:w="2160"/>
          </w:tcPr>
          <w:p>
            <w:r>
              <w:rPr>
                <w:sz w:val="19"/>
              </w:rPr>
              <w:t>Gets there, but with long gaps</w:t>
            </w:r>
          </w:p>
        </w:tc>
      </w:tr>
      <w:tr>
        <w:tc>
          <w:tcPr>
            <w:tcW w:type="dxa" w:w="2160"/>
          </w:tcPr>
          <w:p>
            <w:r>
              <w:rPr>
                <w:b/>
                <w:sz w:val="19"/>
              </w:rPr>
              <w:t>Re-engager</w:t>
            </w:r>
          </w:p>
        </w:tc>
        <w:tc>
          <w:tcPr>
            <w:tcW w:type="dxa" w:w="2160"/>
          </w:tcPr>
          <w:p>
            <w:r>
              <w:rPr>
                <w:sz w:val="19"/>
              </w:rPr>
              <w:t>35</w:t>
            </w:r>
          </w:p>
        </w:tc>
        <w:tc>
          <w:tcPr>
            <w:tcW w:type="dxa" w:w="2160"/>
          </w:tcPr>
          <w:p>
            <w:r>
              <w:rPr>
                <w:sz w:val="19"/>
              </w:rPr>
              <w:t>2%</w:t>
            </w:r>
          </w:p>
        </w:tc>
        <w:tc>
          <w:tcPr>
            <w:tcW w:type="dxa" w:w="2160"/>
          </w:tcPr>
          <w:p>
            <w:r>
              <w:rPr>
                <w:sz w:val="19"/>
              </w:rPr>
              <w:t>Went silent, then came back</w:t>
            </w:r>
          </w:p>
        </w:tc>
      </w:tr>
      <w:tr>
        <w:tc>
          <w:tcPr>
            <w:tcW w:type="dxa" w:w="2160"/>
          </w:tcPr>
          <w:p>
            <w:r>
              <w:rPr>
                <w:b/>
                <w:sz w:val="19"/>
              </w:rPr>
              <w:t>Early dropper</w:t>
            </w:r>
          </w:p>
        </w:tc>
        <w:tc>
          <w:tcPr>
            <w:tcW w:type="dxa" w:w="2160"/>
          </w:tcPr>
          <w:p>
            <w:r>
              <w:rPr>
                <w:sz w:val="19"/>
              </w:rPr>
              <w:t>16</w:t>
            </w:r>
          </w:p>
        </w:tc>
        <w:tc>
          <w:tcPr>
            <w:tcW w:type="dxa" w:w="2160"/>
          </w:tcPr>
          <w:p>
            <w:r>
              <w:rPr>
                <w:sz w:val="19"/>
              </w:rPr>
              <w:t>1%</w:t>
            </w:r>
          </w:p>
        </w:tc>
        <w:tc>
          <w:tcPr>
            <w:tcW w:type="dxa" w:w="2160"/>
          </w:tcPr>
          <w:p>
            <w:r>
              <w:rPr>
                <w:sz w:val="19"/>
              </w:rPr>
              <w:t>Shallow start, left early</w:t>
            </w:r>
          </w:p>
        </w:tc>
      </w:tr>
      <w:tr>
        <w:tc>
          <w:tcPr>
            <w:tcW w:type="dxa" w:w="2160"/>
          </w:tcPr>
          <w:p>
            <w:r>
              <w:rPr>
                <w:b/>
                <w:sz w:val="19"/>
              </w:rPr>
              <w:t>One-and-done</w:t>
            </w:r>
          </w:p>
        </w:tc>
        <w:tc>
          <w:tcPr>
            <w:tcW w:type="dxa" w:w="2160"/>
          </w:tcPr>
          <w:p>
            <w:r>
              <w:rPr>
                <w:sz w:val="19"/>
              </w:rPr>
              <w:t>131</w:t>
            </w:r>
          </w:p>
        </w:tc>
        <w:tc>
          <w:tcPr>
            <w:tcW w:type="dxa" w:w="2160"/>
          </w:tcPr>
          <w:p>
            <w:r>
              <w:rPr>
                <w:sz w:val="19"/>
              </w:rPr>
              <w:t>9%</w:t>
            </w:r>
          </w:p>
        </w:tc>
        <w:tc>
          <w:tcPr>
            <w:tcW w:type="dxa" w:w="2160"/>
          </w:tcPr>
          <w:p>
            <w:r>
              <w:rPr>
                <w:sz w:val="19"/>
              </w:rPr>
              <w:t>Started once and stopped — the real early-loss group</w:t>
            </w:r>
          </w:p>
        </w:tc>
      </w:tr>
      <w:tr>
        <w:tc>
          <w:tcPr>
            <w:tcW w:type="dxa" w:w="2160"/>
          </w:tcPr>
          <w:p>
            <w:r>
              <w:rPr>
                <w:b/>
                <w:sz w:val="19"/>
              </w:rPr>
              <w:t>Lapsed</w:t>
            </w:r>
          </w:p>
        </w:tc>
        <w:tc>
          <w:tcPr>
            <w:tcW w:type="dxa" w:w="2160"/>
          </w:tcPr>
          <w:p>
            <w:r>
              <w:rPr>
                <w:sz w:val="19"/>
              </w:rPr>
              <w:t>5</w:t>
            </w:r>
          </w:p>
        </w:tc>
        <w:tc>
          <w:tcPr>
            <w:tcW w:type="dxa" w:w="2160"/>
          </w:tcPr>
          <w:p>
            <w:r>
              <w:rPr>
                <w:sz w:val="19"/>
              </w:rPr>
              <w:t>0%</w:t>
            </w:r>
          </w:p>
        </w:tc>
        <w:tc>
          <w:tcPr>
            <w:tcW w:type="dxa" w:w="2160"/>
          </w:tcPr>
          <w:p>
            <w:r>
              <w:rPr>
                <w:sz w:val="19"/>
              </w:rPr>
              <w:t>Inactive, unfinished</w:t>
            </w:r>
          </w:p>
        </w:tc>
      </w:tr>
    </w:tbl>
    <w:p>
      <w:pPr>
        <w:spacing w:after="40"/>
      </w:pPr>
    </w:p>
    <w:p>
      <w:pPr>
        <w:spacing w:after="120"/>
      </w:pPr>
      <w:r>
        <w:rPr>
          <w:b w:val="0"/>
        </w:rPr>
        <w:t>Engagement tiers (RFM blend of recency + completion + answer depth): 63% Champion/Solid, 29% Slipping, 8% At-risk/Lost. “Slipping” is largely benign — workers in finished short cohorts who are simply inactive now, not people who quit mid-schedule.</w:t>
      </w:r>
    </w:p>
    <w:p>
      <w:pPr>
        <w:pStyle w:val="Heading1"/>
      </w:pPr>
      <w:r>
        <w:rPr>
          <w:color w:val="1F3864"/>
        </w:rPr>
        <w:t>2. The cross-cohort story (the standout finding)</w:t>
      </w:r>
    </w:p>
    <w:p>
      <w:pPr>
        <w:spacing w:after="120"/>
      </w:pPr>
      <w:r>
        <w:rPr>
          <w:b w:val="0"/>
        </w:rPr>
        <w:t xml:space="preserve">The multi-arm design re-uses the same workers across studies — </w:t>
      </w:r>
      <w:r>
        <w:rPr>
          <w:b/>
        </w:rPr>
        <w:t>77%</w:t>
      </w:r>
      <w:r>
        <w:rPr>
          <w:b w:val="0"/>
        </w:rPr>
        <w:t xml:space="preserve"> are in ≥2 cohorts. That re-use is the strongest engagement signal we have, and it is monotonic: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Cohorts per worker</w:t>
            </w:r>
          </w:p>
        </w:tc>
        <w:tc>
          <w:tcPr>
            <w:tcW w:type="dxa" w:w="2880"/>
          </w:tcPr>
          <w:p>
            <w:r>
              <w:rPr>
                <w:b/>
                <w:sz w:val="19"/>
              </w:rPr>
              <w:t>Workers</w:t>
            </w:r>
          </w:p>
        </w:tc>
        <w:tc>
          <w:tcPr>
            <w:tcW w:type="dxa" w:w="2880"/>
          </w:tcPr>
          <w:p>
            <w:r>
              <w:rPr>
                <w:b/>
                <w:sz w:val="19"/>
              </w:rPr>
              <w:t>Share</w:t>
            </w:r>
          </w:p>
        </w:tc>
      </w:tr>
      <w:tr>
        <w:tc>
          <w:tcPr>
            <w:tcW w:type="dxa" w:w="2880"/>
          </w:tcPr>
          <w:p>
            <w:r>
              <w:rPr>
                <w:b/>
                <w:sz w:val="19"/>
              </w:rPr>
              <w:t>1</w:t>
            </w:r>
          </w:p>
        </w:tc>
        <w:tc>
          <w:tcPr>
            <w:tcW w:type="dxa" w:w="2880"/>
          </w:tcPr>
          <w:p>
            <w:r>
              <w:rPr>
                <w:sz w:val="19"/>
              </w:rPr>
              <w:t>332</w:t>
            </w:r>
          </w:p>
        </w:tc>
        <w:tc>
          <w:tcPr>
            <w:tcW w:type="dxa" w:w="2880"/>
          </w:tcPr>
          <w:p>
            <w:r>
              <w:rPr>
                <w:sz w:val="19"/>
              </w:rPr>
              <w:t>23%</w:t>
            </w:r>
          </w:p>
        </w:tc>
      </w:tr>
      <w:tr>
        <w:tc>
          <w:tcPr>
            <w:tcW w:type="dxa" w:w="2880"/>
          </w:tcPr>
          <w:p>
            <w:r>
              <w:rPr>
                <w:b/>
                <w:sz w:val="19"/>
              </w:rPr>
              <w:t>2</w:t>
            </w:r>
          </w:p>
        </w:tc>
        <w:tc>
          <w:tcPr>
            <w:tcW w:type="dxa" w:w="2880"/>
          </w:tcPr>
          <w:p>
            <w:r>
              <w:rPr>
                <w:sz w:val="19"/>
              </w:rPr>
              <w:t>599</w:t>
            </w:r>
          </w:p>
        </w:tc>
        <w:tc>
          <w:tcPr>
            <w:tcW w:type="dxa" w:w="2880"/>
          </w:tcPr>
          <w:p>
            <w:r>
              <w:rPr>
                <w:sz w:val="19"/>
              </w:rPr>
              <w:t>42%</w:t>
            </w:r>
          </w:p>
        </w:tc>
      </w:tr>
      <w:tr>
        <w:tc>
          <w:tcPr>
            <w:tcW w:type="dxa" w:w="2880"/>
          </w:tcPr>
          <w:p>
            <w:r>
              <w:rPr>
                <w:b/>
                <w:sz w:val="19"/>
              </w:rPr>
              <w:t>3</w:t>
            </w:r>
          </w:p>
        </w:tc>
        <w:tc>
          <w:tcPr>
            <w:tcW w:type="dxa" w:w="2880"/>
          </w:tcPr>
          <w:p>
            <w:r>
              <w:rPr>
                <w:sz w:val="19"/>
              </w:rPr>
              <w:t>359</w:t>
            </w:r>
          </w:p>
        </w:tc>
        <w:tc>
          <w:tcPr>
            <w:tcW w:type="dxa" w:w="2880"/>
          </w:tcPr>
          <w:p>
            <w:r>
              <w:rPr>
                <w:sz w:val="19"/>
              </w:rPr>
              <w:t>25%</w:t>
            </w:r>
          </w:p>
        </w:tc>
      </w:tr>
      <w:tr>
        <w:tc>
          <w:tcPr>
            <w:tcW w:type="dxa" w:w="2880"/>
          </w:tcPr>
          <w:p>
            <w:r>
              <w:rPr>
                <w:b/>
                <w:sz w:val="19"/>
              </w:rPr>
              <w:t>4</w:t>
            </w:r>
          </w:p>
        </w:tc>
        <w:tc>
          <w:tcPr>
            <w:tcW w:type="dxa" w:w="2880"/>
          </w:tcPr>
          <w:p>
            <w:r>
              <w:rPr>
                <w:sz w:val="19"/>
              </w:rPr>
              <w:t>136</w:t>
            </w:r>
          </w:p>
        </w:tc>
        <w:tc>
          <w:tcPr>
            <w:tcW w:type="dxa" w:w="2880"/>
          </w:tcPr>
          <w:p>
            <w:r>
              <w:rPr>
                <w:sz w:val="19"/>
              </w:rPr>
              <w:t>9%</w:t>
            </w:r>
          </w:p>
        </w:tc>
      </w:tr>
      <w:tr>
        <w:tc>
          <w:tcPr>
            <w:tcW w:type="dxa" w:w="2880"/>
          </w:tcPr>
          <w:p>
            <w:r>
              <w:rPr>
                <w:b/>
                <w:sz w:val="19"/>
              </w:rPr>
              <w:t>5</w:t>
            </w:r>
          </w:p>
        </w:tc>
        <w:tc>
          <w:tcPr>
            <w:tcW w:type="dxa" w:w="2880"/>
          </w:tcPr>
          <w:p>
            <w:r>
              <w:rPr>
                <w:sz w:val="19"/>
              </w:rPr>
              <w:t>13</w:t>
            </w:r>
          </w:p>
        </w:tc>
        <w:tc>
          <w:tcPr>
            <w:tcW w:type="dxa" w:w="2880"/>
          </w:tcPr>
          <w:p>
            <w:r>
              <w:rPr>
                <w:sz w:val="19"/>
              </w:rPr>
              <w:t>1%</w:t>
            </w:r>
          </w:p>
        </w:tc>
      </w:tr>
      <w:tr>
        <w:tc>
          <w:tcPr>
            <w:tcW w:type="dxa" w:w="2880"/>
          </w:tcPr>
          <w:p>
            <w:r>
              <w:rPr>
                <w:b/>
                <w:sz w:val="19"/>
              </w:rPr>
              <w:t>6</w:t>
            </w:r>
          </w:p>
        </w:tc>
        <w:tc>
          <w:tcPr>
            <w:tcW w:type="dxa" w:w="2880"/>
          </w:tcPr>
          <w:p>
            <w:r>
              <w:rPr>
                <w:sz w:val="19"/>
              </w:rPr>
              <w:t>2</w:t>
            </w:r>
          </w:p>
        </w:tc>
        <w:tc>
          <w:tcPr>
            <w:tcW w:type="dxa" w:w="2880"/>
          </w:tcPr>
          <w:p>
            <w:r>
              <w:rPr>
                <w:sz w:val="19"/>
              </w:rPr>
              <w:t>0%</w:t>
            </w:r>
          </w:p>
        </w:tc>
      </w:tr>
    </w:tbl>
    <w:p>
      <w:pPr>
        <w:spacing w:after="40"/>
      </w:pPr>
    </w:p>
    <w:p>
      <w:pPr>
        <w:spacing w:after="120"/>
      </w:pPr>
      <w:r>
        <w:rPr>
          <w:b w:val="0"/>
        </w:rPr>
        <w:t xml:space="preserve">Comparing single- vs multi-cohort workers: completion is flat (0.88 vs 0.89) while </w:t>
      </w:r>
      <w:r>
        <w:rPr>
          <w:b/>
        </w:rPr>
        <w:t>finishing rises 44% → 88%</w:t>
      </w:r>
      <w:r>
        <w:rPr>
          <w:b w:val="0"/>
        </w:rPr>
        <w:t xml:space="preserve"> and </w:t>
      </w:r>
      <w:r>
        <w:rPr>
          <w:b/>
        </w:rPr>
        <w:t>depth rises 168 → 246 words/session</w:t>
      </w:r>
      <w:r>
        <w:rPr>
          <w:b w:val="0"/>
        </w:rPr>
        <w:t xml:space="preserve"> — repeat exposure builds commitment and richer engagement, with no sign of fatigue.</w:t>
      </w:r>
    </w:p>
    <w:p>
      <w:pPr>
        <w:spacing w:after="120"/>
      </w:pPr>
      <w:r>
        <w:rPr>
          <w:b w:val="0"/>
        </w:rPr>
        <w:t>Structurally, TRS is the gateway: almost every multi-arm worker started in Training (TRS) and was re-used into study arms — top combinations: PANEL|TRS (322), 2WT|ABT1-B|TRS (87), 2WT|ABT2-A|TRS (71), 2WT|ABT2-B|EXT|TRS (70). TRS is the program's on-ramp; workers who flow from it into further arms become the most engaged core.</w:t>
      </w:r>
    </w:p>
    <w:p>
      <w:pPr>
        <w:spacing w:after="120"/>
      </w:pPr>
      <w:r>
        <w:rPr>
          <w:b w:val="0"/>
        </w:rPr>
        <w:t>Implication: a stable, repeatedly-engaged worker panel is a competitive asset — deliberately re-invite proven workers rather than defaulting to fresh single-exposure recruitment.</w:t>
      </w:r>
    </w:p>
    <w:p>
      <w:pPr>
        <w:spacing w:after="120"/>
      </w:pPr>
      <w:r>
        <w:rPr>
          <w:b w:val="0"/>
          <w:i/>
          <w:color w:val="6B7280"/>
          <w:sz w:val="18"/>
        </w:rPr>
        <w:t>(Caveat: the raw “finished” share is partly mechanical for multi-cohort workers — more cohorts = more chances to finish one — so completion and depth, which aren't subject to that bias, carry the cleaner signal; they agree.)</w:t>
      </w:r>
    </w:p>
    <w:p>
      <w:pPr>
        <w:pStyle w:val="Heading1"/>
      </w:pPr>
      <w:r>
        <w:rPr>
          <w:color w:val="1F3864"/>
        </w:rPr>
        <w:t>3. Where the program loses people — and who they are</w:t>
      </w:r>
    </w:p>
    <w:p>
      <w:pPr>
        <w:spacing w:after="120"/>
      </w:pPr>
      <w:r>
        <w:rPr>
          <w:b w:val="0"/>
        </w:rPr>
        <w:t>Genuine early loss is the One-and-done segment (131 workers, 9%). They are not a random slice: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Cut</w:t>
            </w:r>
          </w:p>
        </w:tc>
        <w:tc>
          <w:tcPr>
            <w:tcW w:type="dxa" w:w="2880"/>
          </w:tcPr>
          <w:p>
            <w:r>
              <w:rPr>
                <w:b/>
                <w:sz w:val="19"/>
              </w:rPr>
              <w:t>One-and-done</w:t>
            </w:r>
          </w:p>
        </w:tc>
        <w:tc>
          <w:tcPr>
            <w:tcW w:type="dxa" w:w="2880"/>
          </w:tcPr>
          <w:p>
            <w:r>
              <w:rPr>
                <w:b/>
                <w:sz w:val="19"/>
              </w:rPr>
              <w:t>Program overall</w:t>
            </w:r>
          </w:p>
        </w:tc>
      </w:tr>
      <w:tr>
        <w:tc>
          <w:tcPr>
            <w:tcW w:type="dxa" w:w="2880"/>
          </w:tcPr>
          <w:p>
            <w:r>
              <w:rPr>
                <w:b/>
                <w:sz w:val="19"/>
              </w:rPr>
              <w:t>Sokoto (top state)</w:t>
            </w:r>
          </w:p>
        </w:tc>
        <w:tc>
          <w:tcPr>
            <w:tcW w:type="dxa" w:w="2880"/>
          </w:tcPr>
          <w:p>
            <w:r>
              <w:rPr>
                <w:sz w:val="19"/>
              </w:rPr>
              <w:t>49%</w:t>
            </w:r>
          </w:p>
        </w:tc>
        <w:tc>
          <w:tcPr>
            <w:tcW w:type="dxa" w:w="2880"/>
          </w:tcPr>
          <w:p>
            <w:r>
              <w:rPr>
                <w:sz w:val="19"/>
              </w:rPr>
              <w:t>291 workers</w:t>
            </w:r>
          </w:p>
        </w:tc>
      </w:tr>
      <w:tr>
        <w:tc>
          <w:tcPr>
            <w:tcW w:type="dxa" w:w="2880"/>
          </w:tcPr>
          <w:p>
            <w:r>
              <w:rPr>
                <w:b/>
                <w:sz w:val="19"/>
              </w:rPr>
              <w:t>Single-cohort</w:t>
            </w:r>
          </w:p>
        </w:tc>
        <w:tc>
          <w:tcPr>
            <w:tcW w:type="dxa" w:w="2880"/>
          </w:tcPr>
          <w:p>
            <w:r>
              <w:rPr>
                <w:sz w:val="19"/>
              </w:rPr>
              <w:t>96%</w:t>
            </w:r>
          </w:p>
        </w:tc>
        <w:tc>
          <w:tcPr>
            <w:tcW w:type="dxa" w:w="2880"/>
          </w:tcPr>
          <w:p>
            <w:r>
              <w:rPr>
                <w:sz w:val="19"/>
              </w:rPr>
              <w:t>23%</w:t>
            </w:r>
          </w:p>
        </w:tc>
      </w:tr>
      <w:tr>
        <w:tc>
          <w:tcPr>
            <w:tcW w:type="dxa" w:w="2880"/>
          </w:tcPr>
          <w:p>
            <w:r>
              <w:rPr>
                <w:b/>
                <w:sz w:val="19"/>
              </w:rPr>
              <w:t>chew cadre (top)</w:t>
            </w:r>
          </w:p>
        </w:tc>
        <w:tc>
          <w:tcPr>
            <w:tcW w:type="dxa" w:w="2880"/>
          </w:tcPr>
          <w:p>
            <w:r>
              <w:rPr>
                <w:sz w:val="19"/>
              </w:rPr>
              <w:t>44%</w:t>
            </w:r>
          </w:p>
        </w:tc>
        <w:tc>
          <w:tcPr>
            <w:tcW w:type="dxa" w:w="2880"/>
          </w:tcPr>
          <w:p>
            <w:r>
              <w:rPr>
                <w:sz w:val="19"/>
              </w:rPr>
            </w:r>
          </w:p>
        </w:tc>
      </w:tr>
      <w:tr>
        <w:tc>
          <w:tcPr>
            <w:tcW w:type="dxa" w:w="2880"/>
          </w:tcPr>
          <w:p>
            <w:r>
              <w:rPr>
                <w:b/>
                <w:sz w:val="19"/>
              </w:rPr>
              <w:t>Median answer depth</w:t>
            </w:r>
          </w:p>
        </w:tc>
        <w:tc>
          <w:tcPr>
            <w:tcW w:type="dxa" w:w="2880"/>
          </w:tcPr>
          <w:p>
            <w:r>
              <w:rPr>
                <w:sz w:val="19"/>
              </w:rPr>
              <w:t>112 words</w:t>
            </w:r>
          </w:p>
        </w:tc>
        <w:tc>
          <w:tcPr>
            <w:tcW w:type="dxa" w:w="2880"/>
          </w:tcPr>
          <w:p>
            <w:r>
              <w:rPr>
                <w:sz w:val="19"/>
              </w:rPr>
              <w:t>Champions: 181</w:t>
            </w:r>
          </w:p>
        </w:tc>
      </w:tr>
    </w:tbl>
    <w:p>
      <w:pPr>
        <w:spacing w:after="40"/>
      </w:pPr>
    </w:p>
    <w:p>
      <w:pPr>
        <w:spacing w:after="120"/>
      </w:pPr>
      <w:r>
        <w:rPr>
          <w:b w:val="0"/>
        </w:rPr>
        <w:t>The drop-off profile is a first-time, single-exposure worker (top geography above), engaging shallowly on their one interview and not returning. This points at who to support and when — at/just after the first interview.</w:t>
      </w:r>
    </w:p>
    <w:p>
      <w:pPr>
        <w:spacing w:after="120"/>
      </w:pPr>
      <w:r>
        <w:rPr>
          <w:b w:val="0"/>
        </w:rPr>
        <w:t>The depth curve (share reaching each interview: Int≥1 100% → Int≥2 88% → Int≥3 62%) partly reflects cohort schedule length — most workers are in short cohorts, so deeper steps largely mean “was this worker in a longer-schedule cohort,” not attrition. The clean FLW-level attrition number is the 9% one-and-done.</w:t>
      </w:r>
    </w:p>
    <w:p>
      <w:pPr>
        <w:pStyle w:val="Heading1"/>
      </w:pPr>
      <w:r>
        <w:rPr>
          <w:color w:val="1F3864"/>
        </w:rPr>
        <w:t>4. The retention lever: early engagement depth</w:t>
      </w:r>
    </w:p>
    <w:p>
      <w:pPr>
        <w:spacing w:after="120"/>
      </w:pPr>
      <w:r>
        <w:rPr>
          <w:b w:val="0"/>
        </w:rPr>
        <w:t>Splitting the population at the median answer-depth: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Group</w:t>
            </w:r>
          </w:p>
        </w:tc>
        <w:tc>
          <w:tcPr>
            <w:tcW w:type="dxa" w:w="2160"/>
          </w:tcPr>
          <w:p>
            <w:r>
              <w:rPr>
                <w:b/>
                <w:sz w:val="19"/>
              </w:rPr>
              <w:t>Workers</w:t>
            </w:r>
          </w:p>
        </w:tc>
        <w:tc>
          <w:tcPr>
            <w:tcW w:type="dxa" w:w="2160"/>
          </w:tcPr>
          <w:p>
            <w:r>
              <w:rPr>
                <w:b/>
                <w:sz w:val="19"/>
              </w:rPr>
              <w:t>Finish rate</w:t>
            </w:r>
          </w:p>
        </w:tc>
        <w:tc>
          <w:tcPr>
            <w:tcW w:type="dxa" w:w="2160"/>
          </w:tcPr>
          <w:p>
            <w:r>
              <w:rPr>
                <w:b/>
                <w:sz w:val="19"/>
              </w:rPr>
              <w:t>Avg depth</w:t>
            </w:r>
          </w:p>
        </w:tc>
      </w:tr>
      <w:tr>
        <w:tc>
          <w:tcPr>
            <w:tcW w:type="dxa" w:w="2160"/>
          </w:tcPr>
          <w:p>
            <w:r>
              <w:rPr>
                <w:b/>
                <w:sz w:val="19"/>
              </w:rPr>
              <w:t>Above-median depth</w:t>
            </w:r>
          </w:p>
        </w:tc>
        <w:tc>
          <w:tcPr>
            <w:tcW w:type="dxa" w:w="2160"/>
          </w:tcPr>
          <w:p>
            <w:r>
              <w:rPr>
                <w:sz w:val="19"/>
              </w:rPr>
              <w:t>721</w:t>
            </w:r>
          </w:p>
        </w:tc>
        <w:tc>
          <w:tcPr>
            <w:tcW w:type="dxa" w:w="2160"/>
          </w:tcPr>
          <w:p>
            <w:r>
              <w:rPr>
                <w:sz w:val="19"/>
              </w:rPr>
              <w:t>88%</w:t>
            </w:r>
          </w:p>
        </w:tc>
        <w:tc>
          <w:tcPr>
            <w:tcW w:type="dxa" w:w="2160"/>
          </w:tcPr>
          <w:p>
            <w:r>
              <w:rPr>
                <w:sz w:val="19"/>
              </w:rPr>
              <w:t>323 words/session</w:t>
            </w:r>
          </w:p>
        </w:tc>
      </w:tr>
      <w:tr>
        <w:tc>
          <w:tcPr>
            <w:tcW w:type="dxa" w:w="2160"/>
          </w:tcPr>
          <w:p>
            <w:r>
              <w:rPr>
                <w:b/>
                <w:sz w:val="19"/>
              </w:rPr>
              <w:t>Below-median depth</w:t>
            </w:r>
          </w:p>
        </w:tc>
        <w:tc>
          <w:tcPr>
            <w:tcW w:type="dxa" w:w="2160"/>
          </w:tcPr>
          <w:p>
            <w:r>
              <w:rPr>
                <w:sz w:val="19"/>
              </w:rPr>
              <w:t>720</w:t>
            </w:r>
          </w:p>
        </w:tc>
        <w:tc>
          <w:tcPr>
            <w:tcW w:type="dxa" w:w="2160"/>
          </w:tcPr>
          <w:p>
            <w:r>
              <w:rPr>
                <w:sz w:val="19"/>
              </w:rPr>
              <w:t>68%</w:t>
            </w:r>
          </w:p>
        </w:tc>
        <w:tc>
          <w:tcPr>
            <w:tcW w:type="dxa" w:w="2160"/>
          </w:tcPr>
          <w:p>
            <w:r>
              <w:rPr>
                <w:sz w:val="19"/>
              </w:rPr>
              <w:t>133 words/session</w:t>
            </w:r>
          </w:p>
        </w:tc>
      </w:tr>
    </w:tbl>
    <w:p>
      <w:pPr>
        <w:spacing w:after="40"/>
      </w:pPr>
    </w:p>
    <w:p>
      <w:pPr>
        <w:spacing w:after="120"/>
      </w:pPr>
      <w:r>
        <w:rPr>
          <w:b w:val="0"/>
        </w:rPr>
        <w:t>A 20-point finish gap tracks with how deeply a worker engages early — consistent with the longitudinal-survey literature. The highest-leverage intervention is making the first interview(s) genuinely engaging (prompt design, length, onboarding support).</w:t>
      </w:r>
    </w:p>
    <w:p>
      <w:pPr>
        <w:pStyle w:val="Heading1"/>
      </w:pPr>
      <w:r>
        <w:rPr>
          <w:color w:val="1F3864"/>
        </w:rPr>
        <w:t>5. Cross-cuts: geography, partner, cadre</w:t>
      </w:r>
    </w:p>
    <w:p>
      <w:pPr>
        <w:spacing w:after="120"/>
      </w:pPr>
      <w:r>
        <w:rPr>
          <w:b w:val="0"/>
        </w:rPr>
        <w:t>By state: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State</w:t>
            </w:r>
          </w:p>
        </w:tc>
        <w:tc>
          <w:tcPr>
            <w:tcW w:type="dxa" w:w="2880"/>
          </w:tcPr>
          <w:p>
            <w:r>
              <w:rPr>
                <w:b/>
                <w:sz w:val="19"/>
              </w:rPr>
              <w:t>Workers</w:t>
            </w:r>
          </w:p>
        </w:tc>
        <w:tc>
          <w:tcPr>
            <w:tcW w:type="dxa" w:w="2880"/>
          </w:tcPr>
          <w:p>
            <w:r>
              <w:rPr>
                <w:b/>
                <w:sz w:val="19"/>
              </w:rPr>
              <w:t>Finish rate</w:t>
            </w:r>
          </w:p>
        </w:tc>
      </w:tr>
      <w:tr>
        <w:tc>
          <w:tcPr>
            <w:tcW w:type="dxa" w:w="2880"/>
          </w:tcPr>
          <w:p>
            <w:r>
              <w:rPr>
                <w:b/>
                <w:sz w:val="19"/>
              </w:rPr>
              <w:t>Borno</w:t>
            </w:r>
          </w:p>
        </w:tc>
        <w:tc>
          <w:tcPr>
            <w:tcW w:type="dxa" w:w="2880"/>
          </w:tcPr>
          <w:p>
            <w:r>
              <w:rPr>
                <w:sz w:val="19"/>
              </w:rPr>
              <w:t>367</w:t>
            </w:r>
          </w:p>
        </w:tc>
        <w:tc>
          <w:tcPr>
            <w:tcW w:type="dxa" w:w="2880"/>
          </w:tcPr>
          <w:p>
            <w:r>
              <w:rPr>
                <w:sz w:val="19"/>
              </w:rPr>
              <w:t>89%</w:t>
            </w:r>
          </w:p>
        </w:tc>
      </w:tr>
      <w:tr>
        <w:tc>
          <w:tcPr>
            <w:tcW w:type="dxa" w:w="2880"/>
          </w:tcPr>
          <w:p>
            <w:r>
              <w:rPr>
                <w:b/>
                <w:sz w:val="19"/>
              </w:rPr>
              <w:t>Kebbi</w:t>
            </w:r>
          </w:p>
        </w:tc>
        <w:tc>
          <w:tcPr>
            <w:tcW w:type="dxa" w:w="2880"/>
          </w:tcPr>
          <w:p>
            <w:r>
              <w:rPr>
                <w:sz w:val="19"/>
              </w:rPr>
              <w:t>399</w:t>
            </w:r>
          </w:p>
        </w:tc>
        <w:tc>
          <w:tcPr>
            <w:tcW w:type="dxa" w:w="2880"/>
          </w:tcPr>
          <w:p>
            <w:r>
              <w:rPr>
                <w:sz w:val="19"/>
              </w:rPr>
              <w:t>84%</w:t>
            </w:r>
          </w:p>
        </w:tc>
      </w:tr>
      <w:tr>
        <w:tc>
          <w:tcPr>
            <w:tcW w:type="dxa" w:w="2880"/>
          </w:tcPr>
          <w:p>
            <w:r>
              <w:rPr>
                <w:b/>
                <w:sz w:val="19"/>
              </w:rPr>
              <w:t>Bauchi</w:t>
            </w:r>
          </w:p>
        </w:tc>
        <w:tc>
          <w:tcPr>
            <w:tcW w:type="dxa" w:w="2880"/>
          </w:tcPr>
          <w:p>
            <w:r>
              <w:rPr>
                <w:sz w:val="19"/>
              </w:rPr>
              <w:t>384</w:t>
            </w:r>
          </w:p>
        </w:tc>
        <w:tc>
          <w:tcPr>
            <w:tcW w:type="dxa" w:w="2880"/>
          </w:tcPr>
          <w:p>
            <w:r>
              <w:rPr>
                <w:sz w:val="19"/>
              </w:rPr>
              <w:t>77%</w:t>
            </w:r>
          </w:p>
        </w:tc>
      </w:tr>
      <w:tr>
        <w:tc>
          <w:tcPr>
            <w:tcW w:type="dxa" w:w="2880"/>
          </w:tcPr>
          <w:p>
            <w:r>
              <w:rPr>
                <w:b/>
                <w:sz w:val="19"/>
              </w:rPr>
              <w:t>Sokoto</w:t>
            </w:r>
          </w:p>
        </w:tc>
        <w:tc>
          <w:tcPr>
            <w:tcW w:type="dxa" w:w="2880"/>
          </w:tcPr>
          <w:p>
            <w:r>
              <w:rPr>
                <w:sz w:val="19"/>
              </w:rPr>
              <w:t>291</w:t>
            </w:r>
          </w:p>
        </w:tc>
        <w:tc>
          <w:tcPr>
            <w:tcW w:type="dxa" w:w="2880"/>
          </w:tcPr>
          <w:p>
            <w:r>
              <w:rPr>
                <w:sz w:val="19"/>
              </w:rPr>
              <w:t>58%</w:t>
            </w:r>
          </w:p>
        </w:tc>
      </w:tr>
    </w:tbl>
    <w:p>
      <w:pPr>
        <w:spacing w:after="40"/>
      </w:pPr>
    </w:p>
    <w:p>
      <w:pPr>
        <w:pStyle w:val="ListBullet"/>
        <w:spacing w:after="60"/>
      </w:pPr>
      <w:r>
        <w:rPr>
          <w:b w:val="0"/>
        </w:rPr>
        <w:t xml:space="preserve">By implementing partner (LLO): COWACDI </w:t>
      </w:r>
      <w:r>
        <w:rPr>
          <w:b/>
        </w:rPr>
        <w:t>86%</w:t>
      </w:r>
      <w:r>
        <w:rPr>
          <w:b w:val="0"/>
        </w:rPr>
        <w:t xml:space="preserve"> vs EHA </w:t>
      </w:r>
      <w:r>
        <w:rPr>
          <w:b/>
        </w:rPr>
        <w:t>69%</w:t>
      </w:r>
      <w:r>
        <w:rPr>
          <w:b w:val="0"/>
        </w:rPr>
        <w:t xml:space="preserve"> finish — the cohort-level gap confirmed at the worker level; workers spanning both partners finish ~100%.</w:t>
      </w:r>
    </w:p>
    <w:p>
      <w:pPr>
        <w:pStyle w:val="ListBullet"/>
        <w:spacing w:after="60"/>
      </w:pPr>
      <w:r>
        <w:rPr>
          <w:b w:val="0"/>
        </w:rPr>
        <w:t xml:space="preserve">By FLW cadre: chv leads at 87%; the largest cadre, </w:t>
      </w:r>
      <w:r>
        <w:rPr>
          <w:b/>
        </w:rPr>
        <w:t>“chew” (558 workers) at 75%</w:t>
      </w:r>
      <w:r>
        <w:rPr>
          <w:b w:val="0"/>
        </w:rPr>
        <w:t xml:space="preserve"> — mid-pack but, by size, the single biggest opportunity to lift the average.</w:t>
      </w:r>
    </w:p>
    <w:p>
      <w:pPr>
        <w:pStyle w:val="Heading1"/>
      </w:pPr>
      <w:r>
        <w:rPr>
          <w:color w:val="1F3864"/>
        </w:rPr>
        <w:t>6. The recoverable at-risk list</w:t>
      </w:r>
    </w:p>
    <w:p>
      <w:pPr>
        <w:spacing w:after="120"/>
      </w:pPr>
      <w:r>
        <w:rPr>
          <w:b/>
        </w:rPr>
        <w:t>51 workers</w:t>
      </w:r>
      <w:r>
        <w:rPr>
          <w:b w:val="0"/>
        </w:rPr>
        <w:t xml:space="preserve"> started, haven't finished, and have been silent 14–60 days — recent enough to re-engage. Concentrated in Sokoto (20), Bauchi (18), Kebbi (7), Borno (6). A small, concrete outreach list; a targeted nudge here is high-yield.</w:t>
      </w:r>
    </w:p>
    <w:p>
      <w:pPr>
        <w:pStyle w:val="Heading1"/>
      </w:pPr>
      <w:r>
        <w:rPr>
          <w:color w:val="1F3864"/>
        </w:rPr>
        <w:t>7. Recommendations</w:t>
      </w:r>
    </w:p>
    <w:p>
      <w:pPr>
        <w:pStyle w:val="ListNumber"/>
        <w:spacing w:after="60"/>
      </w:pPr>
      <w:r>
        <w:rPr>
          <w:b w:val="0"/>
        </w:rPr>
        <w:t>Make the first interview the priority — the strongest retention lever. Invest in prompt quality, length, and first-touch support, especially for first-time workers.</w:t>
      </w:r>
    </w:p>
    <w:p>
      <w:pPr>
        <w:pStyle w:val="ListNumber"/>
        <w:spacing w:after="60"/>
      </w:pPr>
      <w:r>
        <w:rPr>
          <w:b w:val="0"/>
        </w:rPr>
        <w:t>Lean into worker re-use — re-inviting proven workers compounds engagement. Build a returning-worker panel rather than defaulting to fresh single-exposure recruitment.</w:t>
      </w:r>
    </w:p>
    <w:p>
      <w:pPr>
        <w:pStyle w:val="ListNumber"/>
        <w:spacing w:after="60"/>
      </w:pPr>
      <w:r>
        <w:rPr>
          <w:b w:val="0"/>
        </w:rPr>
        <w:t>Target Sokoto and the “chew” cadre — where one-and-done concentrates. Pair them with the onboarding support that works elsewhere.</w:t>
      </w:r>
    </w:p>
    <w:p>
      <w:pPr>
        <w:pStyle w:val="ListNumber"/>
        <w:spacing w:after="60"/>
      </w:pPr>
      <w:r>
        <w:rPr>
          <w:b w:val="0"/>
        </w:rPr>
        <w:t>Run the 51-worker recovery list now — the fastest available win.</w:t>
      </w:r>
    </w:p>
    <w:p>
      <w:pPr>
        <w:pStyle w:val="ListNumber"/>
        <w:spacing w:after="60"/>
      </w:pPr>
      <w:r>
        <w:rPr>
          <w:b w:val="0"/>
        </w:rPr>
        <w:t>Investigate the EHA gap — COWACDI retains ~17 points better; understanding why could lift EHA materially.</w:t>
      </w:r>
    </w:p>
    <w:p>
      <w:pPr>
        <w:pStyle w:val="Heading1"/>
      </w:pPr>
      <w:r>
        <w:rPr>
          <w:color w:val="1F3864"/>
        </w:rPr>
        <w:t>Method &amp; data</w:t>
      </w:r>
    </w:p>
    <w:p>
      <w:pPr>
        <w:pStyle w:val="ListBullet"/>
        <w:spacing w:after="60"/>
      </w:pPr>
      <w:r>
        <w:rPr>
          <w:b w:val="0"/>
        </w:rPr>
        <w:t>Grain: one row per unique worker (connect_id), deduped across cohorts; metrics union the worker's sessions across every arm. Ties out to the canonical started-worker count.</w:t>
      </w:r>
    </w:p>
    <w:p>
      <w:pPr>
        <w:pStyle w:val="ListBullet"/>
        <w:spacing w:after="60"/>
      </w:pPr>
      <w:r>
        <w:rPr>
          <w:b w:val="0"/>
        </w:rPr>
        <w:t>Engagement tier (RFM): Recency + completion rate + answer depth, each 1–5. Persona: rule-based behavioral segment. Finished: completed all scheduled interviews in ≥1 cohort.</w:t>
      </w:r>
    </w:p>
    <w:p>
      <w:pPr>
        <w:pStyle w:val="ListBullet"/>
        <w:spacing w:after="60"/>
      </w:pPr>
      <w:r>
        <w:rPr>
          <w:b w:val="0"/>
        </w:rPr>
        <w:t>Sources: CommCare trigger + session data · OCS sessions (depth) · Connect funnel · flw_registration demographics. Full per-worker detail: flw_analysis.csv. Live: dashboard → FLW Retention tab (daily). This document is generated from the same payload, so it always matches the dashboard.</w:t>
      </w:r>
    </w:p>
    <w:p>
      <w:pPr>
        <w:pStyle w:val="ListBullet"/>
        <w:spacing w:after="60"/>
      </w:pPr>
      <w:r>
        <w:rPr>
          <w:b w:val="0"/>
        </w:rPr>
        <w:t>Caveats: multi-cohort “finished” share is upward-biased (§2; completion &amp; depth agree and are unbiased); progression-depth conflates schedule lengths (§3); experience_years unreliable and excluded.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