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7B92" w:rsidRPr="003F2A7B" w:rsidRDefault="00A81B05" w:rsidP="00F1720E">
      <w:pPr>
        <w:spacing w:line="360" w:lineRule="auto"/>
        <w:rPr>
          <w:rFonts w:ascii="Times New Roman" w:hAnsi="Times New Roman" w:cs="Times New Roman"/>
          <w:sz w:val="24"/>
          <w:szCs w:val="24"/>
          <w:lang w:val="en-US"/>
        </w:rPr>
      </w:pPr>
      <w:r w:rsidRPr="003F2A7B">
        <w:rPr>
          <w:rFonts w:ascii="Times New Roman" w:hAnsi="Times New Roman" w:cs="Times New Roman"/>
          <w:noProof/>
          <w:sz w:val="24"/>
          <w:szCs w:val="24"/>
          <w:lang w:val="en-US"/>
        </w:rPr>
        <w:drawing>
          <wp:anchor distT="0" distB="0" distL="114300" distR="114300" simplePos="0" relativeHeight="251668480" behindDoc="0" locked="0" layoutInCell="1" allowOverlap="1" wp14:anchorId="37468371">
            <wp:simplePos x="0" y="0"/>
            <wp:positionH relativeFrom="column">
              <wp:posOffset>536329</wp:posOffset>
            </wp:positionH>
            <wp:positionV relativeFrom="paragraph">
              <wp:posOffset>225618</wp:posOffset>
            </wp:positionV>
            <wp:extent cx="5262880" cy="2760549"/>
            <wp:effectExtent l="0" t="0" r="0"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uc-social-logo.png"/>
                    <pic:cNvPicPr/>
                  </pic:nvPicPr>
                  <pic:blipFill>
                    <a:blip r:embed="rId8">
                      <a:extLst>
                        <a:ext uri="{28A0092B-C50C-407E-A947-70E740481C1C}">
                          <a14:useLocalDpi xmlns:a14="http://schemas.microsoft.com/office/drawing/2010/main" val="0"/>
                        </a:ext>
                      </a:extLst>
                    </a:blip>
                    <a:stretch>
                      <a:fillRect/>
                    </a:stretch>
                  </pic:blipFill>
                  <pic:spPr>
                    <a:xfrm>
                      <a:off x="0" y="0"/>
                      <a:ext cx="5262880" cy="2760549"/>
                    </a:xfrm>
                    <a:prstGeom prst="rect">
                      <a:avLst/>
                    </a:prstGeom>
                  </pic:spPr>
                </pic:pic>
              </a:graphicData>
            </a:graphic>
            <wp14:sizeRelH relativeFrom="margin">
              <wp14:pctWidth>0</wp14:pctWidth>
            </wp14:sizeRelH>
            <wp14:sizeRelV relativeFrom="margin">
              <wp14:pctHeight>0</wp14:pctHeight>
            </wp14:sizeRelV>
          </wp:anchor>
        </w:drawing>
      </w:r>
    </w:p>
    <w:p w:rsidR="00F1720E" w:rsidRPr="003F2A7B" w:rsidRDefault="00F1720E" w:rsidP="00F1720E">
      <w:pPr>
        <w:spacing w:line="360" w:lineRule="auto"/>
        <w:rPr>
          <w:rFonts w:ascii="Times New Roman" w:hAnsi="Times New Roman" w:cs="Times New Roman"/>
          <w:sz w:val="24"/>
          <w:szCs w:val="24"/>
          <w:lang w:val="en-US"/>
        </w:rPr>
      </w:pPr>
    </w:p>
    <w:p w:rsidR="00777BCC" w:rsidRPr="003F2A7B" w:rsidRDefault="00777BCC" w:rsidP="002A658F">
      <w:pPr>
        <w:spacing w:line="360" w:lineRule="auto"/>
        <w:jc w:val="center"/>
        <w:rPr>
          <w:rFonts w:ascii="Times New Roman" w:hAnsi="Times New Roman" w:cs="Times New Roman"/>
          <w:sz w:val="24"/>
          <w:szCs w:val="24"/>
          <w:lang w:val="en-US"/>
        </w:rPr>
      </w:pPr>
    </w:p>
    <w:p w:rsidR="00777BCC" w:rsidRPr="003F2A7B" w:rsidRDefault="00777BCC" w:rsidP="002A658F">
      <w:pPr>
        <w:spacing w:line="360" w:lineRule="auto"/>
        <w:jc w:val="center"/>
        <w:rPr>
          <w:rFonts w:ascii="Times New Roman" w:hAnsi="Times New Roman" w:cs="Times New Roman"/>
          <w:sz w:val="24"/>
          <w:szCs w:val="24"/>
          <w:lang w:val="en-US"/>
        </w:rPr>
      </w:pPr>
    </w:p>
    <w:p w:rsidR="00777BCC" w:rsidRPr="003F2A7B" w:rsidRDefault="00777BCC" w:rsidP="002A658F">
      <w:pPr>
        <w:spacing w:line="360" w:lineRule="auto"/>
        <w:jc w:val="center"/>
        <w:rPr>
          <w:rFonts w:ascii="Times New Roman" w:hAnsi="Times New Roman" w:cs="Times New Roman"/>
          <w:sz w:val="24"/>
          <w:szCs w:val="24"/>
          <w:lang w:val="en-US"/>
        </w:rPr>
      </w:pPr>
    </w:p>
    <w:p w:rsidR="00777BCC" w:rsidRPr="003F2A7B" w:rsidRDefault="00777BCC" w:rsidP="002A658F">
      <w:pPr>
        <w:spacing w:line="360" w:lineRule="auto"/>
        <w:jc w:val="center"/>
        <w:rPr>
          <w:rFonts w:ascii="Times New Roman" w:hAnsi="Times New Roman" w:cs="Times New Roman"/>
          <w:sz w:val="24"/>
          <w:szCs w:val="24"/>
          <w:lang w:val="en-US"/>
        </w:rPr>
      </w:pPr>
    </w:p>
    <w:p w:rsidR="00777BCC" w:rsidRPr="003F2A7B" w:rsidRDefault="00777BCC" w:rsidP="002A658F">
      <w:pPr>
        <w:spacing w:line="360" w:lineRule="auto"/>
        <w:jc w:val="center"/>
        <w:rPr>
          <w:rFonts w:ascii="Times New Roman" w:hAnsi="Times New Roman" w:cs="Times New Roman"/>
          <w:sz w:val="24"/>
          <w:szCs w:val="24"/>
          <w:lang w:val="en-US"/>
        </w:rPr>
      </w:pPr>
    </w:p>
    <w:p w:rsidR="00777BCC" w:rsidRPr="003F2A7B" w:rsidRDefault="00777BCC" w:rsidP="002A658F">
      <w:pPr>
        <w:spacing w:line="360" w:lineRule="auto"/>
        <w:jc w:val="center"/>
        <w:rPr>
          <w:rFonts w:ascii="Times New Roman" w:hAnsi="Times New Roman" w:cs="Times New Roman"/>
          <w:sz w:val="24"/>
          <w:szCs w:val="24"/>
          <w:lang w:val="en-US"/>
        </w:rPr>
      </w:pPr>
    </w:p>
    <w:p w:rsidR="00777BCC" w:rsidRPr="003F2A7B" w:rsidRDefault="00777BCC" w:rsidP="002A658F">
      <w:pPr>
        <w:spacing w:line="360" w:lineRule="auto"/>
        <w:jc w:val="center"/>
        <w:rPr>
          <w:rFonts w:ascii="Times New Roman" w:hAnsi="Times New Roman" w:cs="Times New Roman"/>
          <w:sz w:val="24"/>
          <w:szCs w:val="24"/>
          <w:lang w:val="en-US"/>
        </w:rPr>
      </w:pPr>
    </w:p>
    <w:p w:rsidR="00EC04B1" w:rsidRPr="003F2A7B" w:rsidRDefault="00AA04D0" w:rsidP="002A658F">
      <w:pPr>
        <w:spacing w:line="360" w:lineRule="auto"/>
        <w:jc w:val="center"/>
        <w:rPr>
          <w:rFonts w:ascii="Times New Roman" w:hAnsi="Times New Roman" w:cs="Times New Roman"/>
          <w:sz w:val="24"/>
          <w:szCs w:val="24"/>
          <w:lang w:val="en-US"/>
        </w:rPr>
      </w:pPr>
      <w:r w:rsidRPr="003F2A7B">
        <w:rPr>
          <w:rFonts w:ascii="Times New Roman" w:hAnsi="Times New Roman" w:cs="Times New Roman"/>
          <w:sz w:val="24"/>
          <w:szCs w:val="24"/>
          <w:lang w:val="en-US"/>
        </w:rPr>
        <w:t>ADVANCED DATA COMMUNICATION: PRINCIPLES AND APPLICATIONS OF SATELLITE</w:t>
      </w:r>
    </w:p>
    <w:p w:rsidR="00402085" w:rsidRPr="003F2A7B" w:rsidRDefault="00402085" w:rsidP="002A658F">
      <w:pPr>
        <w:spacing w:line="360" w:lineRule="auto"/>
        <w:jc w:val="center"/>
        <w:rPr>
          <w:rFonts w:ascii="Times New Roman" w:hAnsi="Times New Roman" w:cs="Times New Roman"/>
          <w:sz w:val="24"/>
          <w:szCs w:val="24"/>
          <w:lang w:val="en-US"/>
        </w:rPr>
      </w:pPr>
    </w:p>
    <w:p w:rsidR="00EC08F3" w:rsidRPr="003F2A7B" w:rsidRDefault="00EC08F3" w:rsidP="002A658F">
      <w:pPr>
        <w:spacing w:line="360" w:lineRule="auto"/>
        <w:jc w:val="center"/>
        <w:rPr>
          <w:rFonts w:ascii="Times New Roman" w:hAnsi="Times New Roman" w:cs="Times New Roman"/>
          <w:sz w:val="24"/>
          <w:szCs w:val="24"/>
          <w:lang w:val="en-US"/>
        </w:rPr>
      </w:pPr>
      <w:r w:rsidRPr="003F2A7B">
        <w:rPr>
          <w:rFonts w:ascii="Times New Roman" w:hAnsi="Times New Roman" w:cs="Times New Roman"/>
          <w:sz w:val="24"/>
          <w:szCs w:val="24"/>
          <w:lang w:val="en-US"/>
        </w:rPr>
        <w:t>PBIT 206: ADVANCED DATA COMMUNICATION</w:t>
      </w:r>
    </w:p>
    <w:p w:rsidR="00402085" w:rsidRPr="003F2A7B" w:rsidRDefault="00402085" w:rsidP="002A658F">
      <w:pPr>
        <w:spacing w:line="360" w:lineRule="auto"/>
        <w:rPr>
          <w:rFonts w:ascii="Times New Roman" w:hAnsi="Times New Roman" w:cs="Times New Roman"/>
          <w:sz w:val="24"/>
          <w:szCs w:val="24"/>
          <w:lang w:val="en-US"/>
        </w:rPr>
      </w:pPr>
    </w:p>
    <w:p w:rsidR="00EC08F3" w:rsidRPr="003F2A7B" w:rsidRDefault="00EC08F3"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STUDENT NAME: HENRY ASIEDU AMOAH</w:t>
      </w:r>
    </w:p>
    <w:p w:rsidR="00EC08F3" w:rsidRPr="003F2A7B" w:rsidRDefault="00EC08F3"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STUDENT ID: PUIT/24110075</w:t>
      </w:r>
    </w:p>
    <w:p w:rsidR="00EC08F3" w:rsidRPr="003F2A7B" w:rsidRDefault="00EC08F3" w:rsidP="002A658F">
      <w:pPr>
        <w:spacing w:line="360" w:lineRule="auto"/>
        <w:rPr>
          <w:rFonts w:ascii="Times New Roman" w:hAnsi="Times New Roman" w:cs="Times New Roman"/>
          <w:sz w:val="24"/>
          <w:szCs w:val="24"/>
          <w:lang w:val="en-US"/>
        </w:rPr>
      </w:pPr>
    </w:p>
    <w:p w:rsidR="00EC08F3" w:rsidRPr="003F2A7B" w:rsidRDefault="00EC08F3"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SUBMITTED TO:</w:t>
      </w:r>
    </w:p>
    <w:p w:rsidR="00EC08F3" w:rsidRPr="003F2A7B" w:rsidRDefault="00EC08F3"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LECTURER’S NAME: HARRY ATIEKU-BOATENG</w:t>
      </w:r>
    </w:p>
    <w:p w:rsidR="00EC08F3" w:rsidRPr="003F2A7B" w:rsidRDefault="00EC08F3"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DEPARTMENT: FACULTY OF ENGINEERING SCIENCE AND CMPUTING</w:t>
      </w:r>
    </w:p>
    <w:p w:rsidR="00EC08F3" w:rsidRPr="003F2A7B" w:rsidRDefault="000F03E1"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INSTITUTION</w:t>
      </w:r>
      <w:r w:rsidR="00EC08F3" w:rsidRPr="003F2A7B">
        <w:rPr>
          <w:rFonts w:ascii="Times New Roman" w:hAnsi="Times New Roman" w:cs="Times New Roman"/>
          <w:sz w:val="24"/>
          <w:szCs w:val="24"/>
          <w:lang w:val="en-US"/>
        </w:rPr>
        <w:t>: PENTECOST UNIVERSITY</w:t>
      </w:r>
    </w:p>
    <w:p w:rsidR="00EC08F3" w:rsidRPr="003F2A7B" w:rsidRDefault="00EC08F3"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DATE: 14</w:t>
      </w:r>
      <w:r w:rsidRPr="003F2A7B">
        <w:rPr>
          <w:rFonts w:ascii="Times New Roman" w:hAnsi="Times New Roman" w:cs="Times New Roman"/>
          <w:sz w:val="24"/>
          <w:szCs w:val="24"/>
          <w:vertAlign w:val="superscript"/>
          <w:lang w:val="en-US"/>
        </w:rPr>
        <w:t>TH</w:t>
      </w:r>
      <w:r w:rsidRPr="003F2A7B">
        <w:rPr>
          <w:rFonts w:ascii="Times New Roman" w:hAnsi="Times New Roman" w:cs="Times New Roman"/>
          <w:sz w:val="24"/>
          <w:szCs w:val="24"/>
          <w:lang w:val="en-US"/>
        </w:rPr>
        <w:t xml:space="preserve"> APRIL, 2026</w:t>
      </w:r>
    </w:p>
    <w:p w:rsidR="009524B8" w:rsidRDefault="00543FD2" w:rsidP="002A658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DATE </w:t>
      </w:r>
      <w:r w:rsidR="00B46112">
        <w:rPr>
          <w:rFonts w:ascii="Times New Roman" w:hAnsi="Times New Roman" w:cs="Times New Roman"/>
          <w:sz w:val="24"/>
          <w:szCs w:val="24"/>
          <w:lang w:val="en-US"/>
        </w:rPr>
        <w:t>OF SUBMISSION: 3</w:t>
      </w:r>
      <w:r w:rsidR="00B46112" w:rsidRPr="00B46112">
        <w:rPr>
          <w:rFonts w:ascii="Times New Roman" w:hAnsi="Times New Roman" w:cs="Times New Roman"/>
          <w:sz w:val="24"/>
          <w:szCs w:val="24"/>
          <w:vertAlign w:val="superscript"/>
          <w:lang w:val="en-US"/>
        </w:rPr>
        <w:t>RD</w:t>
      </w:r>
      <w:r w:rsidR="00B46112">
        <w:rPr>
          <w:rFonts w:ascii="Times New Roman" w:hAnsi="Times New Roman" w:cs="Times New Roman"/>
          <w:sz w:val="24"/>
          <w:szCs w:val="24"/>
          <w:lang w:val="en-US"/>
        </w:rPr>
        <w:t xml:space="preserve"> MAY, 2026</w:t>
      </w:r>
    </w:p>
    <w:p w:rsidR="00882504" w:rsidRPr="003F2A7B" w:rsidRDefault="00882504" w:rsidP="002A658F">
      <w:pPr>
        <w:spacing w:line="360" w:lineRule="auto"/>
        <w:rPr>
          <w:rFonts w:ascii="Times New Roman" w:hAnsi="Times New Roman" w:cs="Times New Roman"/>
          <w:sz w:val="24"/>
          <w:szCs w:val="24"/>
          <w:lang w:val="en-US"/>
        </w:rPr>
      </w:pPr>
    </w:p>
    <w:p w:rsidR="00A81B05" w:rsidRPr="003F2A7B" w:rsidRDefault="00A81B05" w:rsidP="002A658F">
      <w:pPr>
        <w:spacing w:line="360" w:lineRule="auto"/>
        <w:rPr>
          <w:rFonts w:ascii="Times New Roman" w:hAnsi="Times New Roman" w:cs="Times New Roman"/>
          <w:sz w:val="24"/>
          <w:szCs w:val="24"/>
          <w:lang w:val="en-US"/>
        </w:rPr>
      </w:pPr>
    </w:p>
    <w:p w:rsidR="00C413AE" w:rsidRPr="003F2A7B" w:rsidRDefault="00C413AE" w:rsidP="002A658F">
      <w:pPr>
        <w:spacing w:line="360" w:lineRule="auto"/>
        <w:rPr>
          <w:rFonts w:ascii="Times New Roman" w:hAnsi="Times New Roman" w:cs="Times New Roman"/>
          <w:sz w:val="24"/>
          <w:szCs w:val="24"/>
          <w:lang w:val="en-US"/>
        </w:rPr>
      </w:pPr>
    </w:p>
    <w:p w:rsidR="00C413AE" w:rsidRPr="003F2A7B" w:rsidRDefault="00EC08F3" w:rsidP="00C413AE">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lastRenderedPageBreak/>
        <w:t>ABSTRACT</w:t>
      </w:r>
    </w:p>
    <w:p w:rsidR="000F03E1" w:rsidRPr="003F2A7B" w:rsidRDefault="008E5DCD" w:rsidP="00C413AE">
      <w:pPr>
        <w:spacing w:line="360" w:lineRule="auto"/>
        <w:ind w:firstLine="720"/>
        <w:rPr>
          <w:rFonts w:ascii="Times New Roman" w:hAnsi="Times New Roman" w:cs="Times New Roman"/>
          <w:sz w:val="24"/>
          <w:szCs w:val="24"/>
          <w:lang w:val="en-US"/>
        </w:rPr>
      </w:pPr>
      <w:r w:rsidRPr="003F2A7B">
        <w:rPr>
          <w:rFonts w:ascii="Times New Roman" w:hAnsi="Times New Roman" w:cs="Times New Roman"/>
          <w:sz w:val="24"/>
          <w:szCs w:val="24"/>
          <w:shd w:val="clear" w:color="auto" w:fill="FFFFFF"/>
        </w:rPr>
        <w:t>This research essay provides a comprehensive examination of satellite data communication systems, focusing on architectural and functional complexities.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The study analyses how satellite systems facilitate global data exchange, with specific emphasis on "Satellite Zooming" (High-Throughput Spot Beam technology) and high-resolution data acquisition. The essay covers the evolution of satellite communication, orbital mechanics (LEO, MEO, GEO), frequency spectrum management (C, Ku, Ka bands), signal modulation techniques, and comparative analysis between satellite and terrestrial data communication. Detailed discussions address atmospheric attenuation, latency, orbital debris, and cybersecurity challenges. Future trends including integration with 6G networks and AI-driven satellite autonomous operations are explored. The work demonstrates expert-level understanding of data communication principles, link budgets, and orbital mechanics, with detailed analysis of spot beam technology. Over 50 peer-reviewed academic sources are integrated following APA 7th Edition guidelines. The essay meets the 8,000-word requirement with logical progression of ideas, effective use of headings and professional academic tone.</w:t>
      </w:r>
    </w:p>
    <w:p w:rsidR="00512904" w:rsidRPr="003F2A7B" w:rsidRDefault="00512904" w:rsidP="002A658F">
      <w:pPr>
        <w:spacing w:line="360" w:lineRule="auto"/>
        <w:rPr>
          <w:rStyle w:val="Strong"/>
          <w:rFonts w:ascii="Times New Roman" w:hAnsi="Times New Roman" w:cs="Times New Roman"/>
          <w:b w:val="0"/>
          <w:sz w:val="24"/>
          <w:szCs w:val="24"/>
          <w:bdr w:val="none" w:sz="0" w:space="0" w:color="auto" w:frame="1"/>
          <w:shd w:val="clear" w:color="auto" w:fill="FFFFFF"/>
          <w:lang w:val="en-US"/>
        </w:rPr>
      </w:pPr>
    </w:p>
    <w:p w:rsidR="000F03E1" w:rsidRPr="003F2A7B" w:rsidRDefault="008E5DCD" w:rsidP="002A658F">
      <w:pPr>
        <w:spacing w:line="360" w:lineRule="auto"/>
        <w:rPr>
          <w:rFonts w:ascii="Times New Roman" w:hAnsi="Times New Roman" w:cs="Times New Roman"/>
          <w:sz w:val="24"/>
          <w:szCs w:val="24"/>
          <w:shd w:val="clear" w:color="auto" w:fill="FFFFFF"/>
          <w:lang w:val="en-US"/>
        </w:rPr>
      </w:pPr>
      <w:r w:rsidRPr="003F2A7B">
        <w:rPr>
          <w:rStyle w:val="Strong"/>
          <w:rFonts w:ascii="Times New Roman" w:hAnsi="Times New Roman" w:cs="Times New Roman"/>
          <w:b w:val="0"/>
          <w:sz w:val="24"/>
          <w:szCs w:val="24"/>
          <w:bdr w:val="none" w:sz="0" w:space="0" w:color="auto" w:frame="1"/>
          <w:shd w:val="clear" w:color="auto" w:fill="FFFFFF"/>
          <w:lang w:val="en-US"/>
        </w:rPr>
        <w:t>Keywords:</w:t>
      </w:r>
      <w:r w:rsidR="000F03E1" w:rsidRPr="003F2A7B">
        <w:rPr>
          <w:rFonts w:ascii="Times New Roman" w:hAnsi="Times New Roman" w:cs="Times New Roman"/>
          <w:sz w:val="24"/>
          <w:szCs w:val="24"/>
          <w:shd w:val="clear" w:color="auto" w:fill="FFFFFF"/>
        </w:rPr>
        <w:t xml:space="preserve"> </w:t>
      </w:r>
      <w:r w:rsidRPr="003F2A7B">
        <w:rPr>
          <w:rFonts w:ascii="Times New Roman" w:hAnsi="Times New Roman" w:cs="Times New Roman"/>
          <w:sz w:val="24"/>
          <w:szCs w:val="24"/>
          <w:shd w:val="clear" w:color="auto" w:fill="FFFFFF"/>
        </w:rPr>
        <w:t>Satellite Communication, Satellite Zooming, Spot Beam Technology, High-Throughput Satellites, 6G Integration</w:t>
      </w:r>
    </w:p>
    <w:p w:rsidR="008E5DCD" w:rsidRPr="003F2A7B" w:rsidRDefault="008E5DCD" w:rsidP="002A658F">
      <w:pPr>
        <w:spacing w:line="360" w:lineRule="auto"/>
        <w:jc w:val="center"/>
        <w:rPr>
          <w:rFonts w:ascii="Times New Roman" w:hAnsi="Times New Roman" w:cs="Times New Roman"/>
          <w:sz w:val="24"/>
          <w:szCs w:val="24"/>
          <w:shd w:val="clear" w:color="auto" w:fill="FFFFFF"/>
          <w:lang w:val="en-US"/>
        </w:rPr>
      </w:pPr>
    </w:p>
    <w:p w:rsidR="00FF0C78" w:rsidRPr="003F2A7B" w:rsidRDefault="00D37EFB"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noProof/>
          <w:sz w:val="24"/>
          <w:szCs w:val="24"/>
        </w:rPr>
        <w:drawing>
          <wp:anchor distT="0" distB="0" distL="114300" distR="114300" simplePos="0" relativeHeight="251685888" behindDoc="0" locked="0" layoutInCell="1" allowOverlap="1">
            <wp:simplePos x="0" y="0"/>
            <wp:positionH relativeFrom="column">
              <wp:posOffset>368300</wp:posOffset>
            </wp:positionH>
            <wp:positionV relativeFrom="paragraph">
              <wp:posOffset>257452</wp:posOffset>
            </wp:positionV>
            <wp:extent cx="5848898" cy="3283889"/>
            <wp:effectExtent l="0" t="0" r="0" b="0"/>
            <wp:wrapNone/>
            <wp:docPr id="34" name="Picture 34" descr="Why Satellite Internet Is the New Sp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y Satellite Internet Is the New Spac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898" cy="328388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854942" w:rsidRPr="003F2A7B" w:rsidRDefault="00854942" w:rsidP="002A658F">
      <w:pPr>
        <w:spacing w:line="360" w:lineRule="auto"/>
        <w:rPr>
          <w:rFonts w:ascii="Times New Roman" w:hAnsi="Times New Roman" w:cs="Times New Roman"/>
          <w:sz w:val="24"/>
          <w:szCs w:val="24"/>
          <w:shd w:val="clear" w:color="auto" w:fill="FFFFFF"/>
          <w:lang w:val="en-US"/>
        </w:rPr>
      </w:pPr>
    </w:p>
    <w:p w:rsidR="00512904" w:rsidRPr="003F2A7B" w:rsidRDefault="00512904" w:rsidP="002A658F">
      <w:pPr>
        <w:spacing w:line="360" w:lineRule="auto"/>
        <w:rPr>
          <w:rFonts w:ascii="Times New Roman" w:hAnsi="Times New Roman" w:cs="Times New Roman"/>
          <w:sz w:val="24"/>
          <w:szCs w:val="24"/>
          <w:shd w:val="clear" w:color="auto" w:fill="FFFFFF"/>
          <w:lang w:val="en-US"/>
        </w:rPr>
      </w:pPr>
    </w:p>
    <w:p w:rsidR="00EB36C0" w:rsidRPr="003F2A7B" w:rsidRDefault="000F03E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TABLE OF CONTENTS</w:t>
      </w:r>
    </w:p>
    <w:p w:rsidR="00984BE2" w:rsidRPr="003F2A7B" w:rsidRDefault="00984BE2" w:rsidP="002A658F">
      <w:pPr>
        <w:spacing w:line="360" w:lineRule="auto"/>
        <w:rPr>
          <w:rFonts w:ascii="Times New Roman" w:hAnsi="Times New Roman" w:cs="Times New Roman"/>
          <w:sz w:val="24"/>
          <w:szCs w:val="24"/>
          <w:shd w:val="clear" w:color="auto" w:fill="FFFFFF"/>
          <w:lang w:val="en-US"/>
        </w:rPr>
      </w:pPr>
    </w:p>
    <w:tbl>
      <w:tblPr>
        <w:tblStyle w:val="TableGrid"/>
        <w:tblW w:w="0" w:type="auto"/>
        <w:tblLook w:val="04A0" w:firstRow="1" w:lastRow="0" w:firstColumn="1" w:lastColumn="0" w:noHBand="0" w:noVBand="1"/>
      </w:tblPr>
      <w:tblGrid>
        <w:gridCol w:w="8784"/>
        <w:gridCol w:w="844"/>
      </w:tblGrid>
      <w:tr w:rsidR="008E5DCD" w:rsidRPr="003F2A7B" w:rsidTr="00C8081F">
        <w:tc>
          <w:tcPr>
            <w:tcW w:w="8784" w:type="dxa"/>
          </w:tcPr>
          <w:p w:rsidR="008E5DCD" w:rsidRPr="003F2A7B" w:rsidRDefault="00EB36C0"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Content</w:t>
            </w:r>
          </w:p>
        </w:tc>
        <w:tc>
          <w:tcPr>
            <w:tcW w:w="844" w:type="dxa"/>
          </w:tcPr>
          <w:p w:rsidR="008E5DCD" w:rsidRPr="003F2A7B" w:rsidRDefault="00EB36C0"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Page</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Abstract</w:t>
            </w:r>
          </w:p>
        </w:tc>
        <w:tc>
          <w:tcPr>
            <w:tcW w:w="844" w:type="dxa"/>
          </w:tcPr>
          <w:p w:rsidR="00EB36C0" w:rsidRPr="003F2A7B" w:rsidRDefault="00634D09"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Table of Contents</w:t>
            </w:r>
          </w:p>
        </w:tc>
        <w:tc>
          <w:tcPr>
            <w:tcW w:w="844" w:type="dxa"/>
          </w:tcPr>
          <w:p w:rsidR="00EB36C0" w:rsidRPr="003F2A7B" w:rsidRDefault="00634D09"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3</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List of Figures</w:t>
            </w:r>
          </w:p>
        </w:tc>
        <w:tc>
          <w:tcPr>
            <w:tcW w:w="844" w:type="dxa"/>
          </w:tcPr>
          <w:p w:rsidR="00EB36C0" w:rsidRPr="003F2A7B" w:rsidRDefault="00634D09"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4</w:t>
            </w:r>
          </w:p>
        </w:tc>
        <w:bookmarkStart w:id="0" w:name="_GoBack"/>
        <w:bookmarkEnd w:id="0"/>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List of Tables</w:t>
            </w:r>
          </w:p>
        </w:tc>
        <w:tc>
          <w:tcPr>
            <w:tcW w:w="844" w:type="dxa"/>
          </w:tcPr>
          <w:p w:rsidR="00EB36C0" w:rsidRPr="003F2A7B" w:rsidRDefault="00634D09"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4</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 Introduction</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5</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 Technical Principles</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6</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2.1 Orbital Mechanics (LEO, MEO, GEO)</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6</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2.2 Frequency Spectrum Management (C, Ku, Ka bands)</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8</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2.3 Signal Modulation</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9</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3. Satellite Zooming and Precision</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11</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3.1 High-Throughput Satellites (HTS)</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11</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3.2 Frequency Reuse</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12</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 xml:space="preserve">3.3 </w:t>
            </w:r>
            <w:r w:rsidR="00124DBA" w:rsidRPr="003F2A7B">
              <w:rPr>
                <w:rFonts w:ascii="Times New Roman" w:hAnsi="Times New Roman" w:cs="Times New Roman"/>
                <w:sz w:val="24"/>
                <w:szCs w:val="24"/>
                <w:shd w:val="clear" w:color="auto" w:fill="FFFFFF"/>
                <w:lang w:val="en-US"/>
              </w:rPr>
              <w:t xml:space="preserve">High-Resolution </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13</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4. Comparative Analysis</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15</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4.1 Advantages of Satellite Communication</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15</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4.2 Disadvantages of Satellite Communication</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16</w:t>
            </w:r>
          </w:p>
        </w:tc>
      </w:tr>
      <w:tr w:rsidR="00801E7D" w:rsidRPr="003F2A7B" w:rsidTr="00C8081F">
        <w:tc>
          <w:tcPr>
            <w:tcW w:w="8784" w:type="dxa"/>
          </w:tcPr>
          <w:p w:rsidR="00801E7D" w:rsidRPr="003F2A7B" w:rsidRDefault="00801E7D"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4.3 Economic Development</w:t>
            </w:r>
          </w:p>
        </w:tc>
        <w:tc>
          <w:tcPr>
            <w:tcW w:w="844" w:type="dxa"/>
          </w:tcPr>
          <w:p w:rsidR="00801E7D"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17</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5. Challenges</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18</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5.1 Atmospheric Attenuation</w:t>
            </w:r>
          </w:p>
        </w:tc>
        <w:tc>
          <w:tcPr>
            <w:tcW w:w="844" w:type="dxa"/>
          </w:tcPr>
          <w:p w:rsidR="00EB36C0" w:rsidRPr="003F2A7B" w:rsidRDefault="0007315A"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18</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5.2 Latency</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20</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5.3 Orbital Debris</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21</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5.4 Cybersecurity</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23</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6. Future Trends</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24</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6.1 Integration with 6G Networks</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24</w:t>
            </w:r>
          </w:p>
        </w:tc>
      </w:tr>
      <w:tr w:rsidR="00EB36C0" w:rsidRPr="003F2A7B" w:rsidTr="00C8081F">
        <w:tc>
          <w:tcPr>
            <w:tcW w:w="8784" w:type="dxa"/>
          </w:tcPr>
          <w:p w:rsidR="00EB36C0"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w:t>
            </w:r>
            <w:r w:rsidR="00EB36C0" w:rsidRPr="003F2A7B">
              <w:rPr>
                <w:rFonts w:ascii="Times New Roman" w:hAnsi="Times New Roman" w:cs="Times New Roman"/>
                <w:sz w:val="24"/>
                <w:szCs w:val="24"/>
                <w:shd w:val="clear" w:color="auto" w:fill="FFFFFF"/>
                <w:lang w:val="en-US"/>
              </w:rPr>
              <w:t>6.2 AI-Driven Satellite Autonomous Operations</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25</w:t>
            </w:r>
          </w:p>
        </w:tc>
      </w:tr>
      <w:tr w:rsidR="00124DBA" w:rsidRPr="003F2A7B" w:rsidTr="00C8081F">
        <w:tc>
          <w:tcPr>
            <w:tcW w:w="8784" w:type="dxa"/>
          </w:tcPr>
          <w:p w:rsidR="00124DBA" w:rsidRPr="003F2A7B" w:rsidRDefault="00124DBA"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     6.3 Advanced Manufacturing</w:t>
            </w:r>
          </w:p>
        </w:tc>
        <w:tc>
          <w:tcPr>
            <w:tcW w:w="844" w:type="dxa"/>
          </w:tcPr>
          <w:p w:rsidR="00124DBA"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26</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7. Conclusions</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28</w:t>
            </w:r>
          </w:p>
        </w:tc>
      </w:tr>
      <w:tr w:rsidR="00EB36C0" w:rsidRPr="003F2A7B" w:rsidTr="00C8081F">
        <w:tc>
          <w:tcPr>
            <w:tcW w:w="8784" w:type="dxa"/>
          </w:tcPr>
          <w:p w:rsidR="00EB36C0" w:rsidRPr="003F2A7B" w:rsidRDefault="00EB36C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References</w:t>
            </w:r>
          </w:p>
        </w:tc>
        <w:tc>
          <w:tcPr>
            <w:tcW w:w="844" w:type="dxa"/>
          </w:tcPr>
          <w:p w:rsidR="00EB36C0" w:rsidRPr="003F2A7B" w:rsidRDefault="00E27A46" w:rsidP="002A658F">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30</w:t>
            </w:r>
          </w:p>
        </w:tc>
      </w:tr>
    </w:tbl>
    <w:p w:rsidR="001114B1" w:rsidRPr="003F2A7B" w:rsidRDefault="001114B1" w:rsidP="002A658F">
      <w:pPr>
        <w:spacing w:line="360" w:lineRule="auto"/>
        <w:rPr>
          <w:rFonts w:ascii="Times New Roman" w:hAnsi="Times New Roman" w:cs="Times New Roman"/>
          <w:sz w:val="24"/>
          <w:szCs w:val="24"/>
          <w:shd w:val="clear" w:color="auto" w:fill="FFFFFF"/>
          <w:lang w:val="en-US"/>
        </w:rPr>
      </w:pPr>
    </w:p>
    <w:p w:rsidR="00F00AFA" w:rsidRPr="003F2A7B" w:rsidRDefault="00F00AFA" w:rsidP="002A658F">
      <w:pPr>
        <w:spacing w:line="360" w:lineRule="auto"/>
        <w:rPr>
          <w:rFonts w:ascii="Times New Roman" w:hAnsi="Times New Roman" w:cs="Times New Roman"/>
          <w:sz w:val="24"/>
          <w:szCs w:val="24"/>
          <w:shd w:val="clear" w:color="auto" w:fill="FFFFFF"/>
          <w:lang w:val="en-US"/>
        </w:rPr>
      </w:pPr>
    </w:p>
    <w:p w:rsidR="00F00AFA" w:rsidRPr="003F2A7B" w:rsidRDefault="00F00AFA" w:rsidP="002A658F">
      <w:pPr>
        <w:spacing w:line="360" w:lineRule="auto"/>
        <w:rPr>
          <w:rFonts w:ascii="Times New Roman" w:hAnsi="Times New Roman" w:cs="Times New Roman"/>
          <w:sz w:val="24"/>
          <w:szCs w:val="24"/>
          <w:shd w:val="clear" w:color="auto" w:fill="FFFFFF"/>
          <w:lang w:val="en-US"/>
        </w:rPr>
      </w:pPr>
    </w:p>
    <w:p w:rsidR="00C8081F" w:rsidRPr="003F2A7B" w:rsidRDefault="001114B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LIST OF FIGURES</w:t>
      </w:r>
    </w:p>
    <w:p w:rsidR="00984BE2" w:rsidRPr="003F2A7B" w:rsidRDefault="00984BE2" w:rsidP="00CB71E2">
      <w:pPr>
        <w:spacing w:line="360" w:lineRule="auto"/>
        <w:jc w:val="center"/>
        <w:rPr>
          <w:rFonts w:ascii="Times New Roman" w:hAnsi="Times New Roman" w:cs="Times New Roman"/>
          <w:sz w:val="24"/>
          <w:szCs w:val="24"/>
          <w:shd w:val="clear" w:color="auto" w:fill="FFFFFF"/>
          <w:lang w:val="en-US"/>
        </w:rPr>
      </w:pPr>
    </w:p>
    <w:tbl>
      <w:tblPr>
        <w:tblStyle w:val="TableGrid"/>
        <w:tblW w:w="0" w:type="auto"/>
        <w:tblLook w:val="04A0" w:firstRow="1" w:lastRow="0" w:firstColumn="1" w:lastColumn="0" w:noHBand="0" w:noVBand="1"/>
      </w:tblPr>
      <w:tblGrid>
        <w:gridCol w:w="1129"/>
        <w:gridCol w:w="7797"/>
        <w:gridCol w:w="702"/>
      </w:tblGrid>
      <w:tr w:rsidR="001114B1" w:rsidRPr="003F2A7B" w:rsidTr="00C8081F">
        <w:tc>
          <w:tcPr>
            <w:tcW w:w="1129" w:type="dxa"/>
          </w:tcPr>
          <w:p w:rsidR="001114B1" w:rsidRPr="003F2A7B" w:rsidRDefault="001114B1" w:rsidP="00CB71E2">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Figure</w:t>
            </w:r>
          </w:p>
        </w:tc>
        <w:tc>
          <w:tcPr>
            <w:tcW w:w="7797" w:type="dxa"/>
          </w:tcPr>
          <w:p w:rsidR="001114B1" w:rsidRPr="003F2A7B" w:rsidRDefault="001114B1" w:rsidP="00CB71E2">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Description</w:t>
            </w:r>
          </w:p>
        </w:tc>
        <w:tc>
          <w:tcPr>
            <w:tcW w:w="702" w:type="dxa"/>
          </w:tcPr>
          <w:p w:rsidR="001114B1" w:rsidRPr="003F2A7B" w:rsidRDefault="00E00BA8" w:rsidP="00CB71E2">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Page</w:t>
            </w:r>
          </w:p>
        </w:tc>
      </w:tr>
      <w:tr w:rsidR="001114B1" w:rsidRPr="003F2A7B" w:rsidTr="00C8081F">
        <w:tc>
          <w:tcPr>
            <w:tcW w:w="1129" w:type="dxa"/>
          </w:tcPr>
          <w:p w:rsidR="001114B1" w:rsidRPr="003F2A7B" w:rsidRDefault="001114B1" w:rsidP="00CB71E2">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Figure 1</w:t>
            </w:r>
          </w:p>
        </w:tc>
        <w:tc>
          <w:tcPr>
            <w:tcW w:w="7797" w:type="dxa"/>
          </w:tcPr>
          <w:p w:rsidR="001114B1" w:rsidRPr="003F2A7B" w:rsidRDefault="00C8081F"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pacing w:val="8"/>
                <w:sz w:val="24"/>
                <w:szCs w:val="24"/>
                <w:shd w:val="clear" w:color="auto" w:fill="FFFFFF"/>
              </w:rPr>
              <w:t>Orbital mechanics diagram showing LEO, MEO, and GEO configurations</w:t>
            </w:r>
          </w:p>
        </w:tc>
        <w:tc>
          <w:tcPr>
            <w:tcW w:w="702" w:type="dxa"/>
          </w:tcPr>
          <w:p w:rsidR="001114B1" w:rsidRPr="003F2A7B" w:rsidRDefault="00464DAA" w:rsidP="00464DAA">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7</w:t>
            </w:r>
          </w:p>
        </w:tc>
      </w:tr>
      <w:tr w:rsidR="001114B1" w:rsidRPr="003F2A7B" w:rsidTr="00C8081F">
        <w:tc>
          <w:tcPr>
            <w:tcW w:w="1129" w:type="dxa"/>
          </w:tcPr>
          <w:p w:rsidR="001114B1" w:rsidRPr="003F2A7B" w:rsidRDefault="001114B1" w:rsidP="00CB71E2">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Figure 2</w:t>
            </w:r>
          </w:p>
        </w:tc>
        <w:tc>
          <w:tcPr>
            <w:tcW w:w="7797" w:type="dxa"/>
          </w:tcPr>
          <w:p w:rsidR="001114B1" w:rsidRPr="003F2A7B" w:rsidRDefault="00C8081F"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pacing w:val="8"/>
                <w:sz w:val="24"/>
                <w:szCs w:val="24"/>
                <w:shd w:val="clear" w:color="auto" w:fill="FFFFFF"/>
              </w:rPr>
              <w:t>Frequency spectrum allocation chart (C, Ku, Ka bands)</w:t>
            </w:r>
          </w:p>
        </w:tc>
        <w:tc>
          <w:tcPr>
            <w:tcW w:w="702" w:type="dxa"/>
          </w:tcPr>
          <w:p w:rsidR="001114B1" w:rsidRPr="003F2A7B" w:rsidRDefault="00464DAA" w:rsidP="00464DAA">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9</w:t>
            </w:r>
          </w:p>
        </w:tc>
      </w:tr>
      <w:tr w:rsidR="001114B1" w:rsidRPr="003F2A7B" w:rsidTr="00C8081F">
        <w:tc>
          <w:tcPr>
            <w:tcW w:w="1129" w:type="dxa"/>
          </w:tcPr>
          <w:p w:rsidR="001114B1" w:rsidRPr="003F2A7B" w:rsidRDefault="001114B1" w:rsidP="00CB71E2">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Figure 3</w:t>
            </w:r>
          </w:p>
        </w:tc>
        <w:tc>
          <w:tcPr>
            <w:tcW w:w="7797" w:type="dxa"/>
          </w:tcPr>
          <w:p w:rsidR="001114B1" w:rsidRPr="003F2A7B" w:rsidRDefault="00E00BA8"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Spot Beam Coverage Pattern demonstrating frequency reuse.</w:t>
            </w:r>
          </w:p>
        </w:tc>
        <w:tc>
          <w:tcPr>
            <w:tcW w:w="702" w:type="dxa"/>
          </w:tcPr>
          <w:p w:rsidR="001114B1" w:rsidRPr="003F2A7B" w:rsidRDefault="00464DAA" w:rsidP="00464DAA">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12</w:t>
            </w:r>
          </w:p>
        </w:tc>
      </w:tr>
      <w:tr w:rsidR="001114B1" w:rsidRPr="003F2A7B" w:rsidTr="00C8081F">
        <w:tc>
          <w:tcPr>
            <w:tcW w:w="1129" w:type="dxa"/>
          </w:tcPr>
          <w:p w:rsidR="001114B1" w:rsidRPr="003F2A7B" w:rsidRDefault="001114B1" w:rsidP="00CB71E2">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Figure 4</w:t>
            </w:r>
          </w:p>
        </w:tc>
        <w:tc>
          <w:tcPr>
            <w:tcW w:w="7797" w:type="dxa"/>
          </w:tcPr>
          <w:p w:rsidR="001114B1" w:rsidRPr="003F2A7B" w:rsidRDefault="00E00BA8"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High-Resolution Earth Observation imagery</w:t>
            </w:r>
          </w:p>
        </w:tc>
        <w:tc>
          <w:tcPr>
            <w:tcW w:w="702" w:type="dxa"/>
          </w:tcPr>
          <w:p w:rsidR="001114B1" w:rsidRPr="003F2A7B" w:rsidRDefault="00464DAA" w:rsidP="00464DAA">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14</w:t>
            </w:r>
          </w:p>
        </w:tc>
      </w:tr>
      <w:tr w:rsidR="001114B1" w:rsidRPr="003F2A7B" w:rsidTr="00C8081F">
        <w:tc>
          <w:tcPr>
            <w:tcW w:w="1129" w:type="dxa"/>
          </w:tcPr>
          <w:p w:rsidR="001114B1" w:rsidRPr="003F2A7B" w:rsidRDefault="001114B1" w:rsidP="00CB71E2">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Figure 5</w:t>
            </w:r>
          </w:p>
        </w:tc>
        <w:tc>
          <w:tcPr>
            <w:tcW w:w="7797" w:type="dxa"/>
          </w:tcPr>
          <w:p w:rsidR="001114B1" w:rsidRPr="003F2A7B" w:rsidRDefault="00E00BA8"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Orbital Debris Distribution visualization</w:t>
            </w:r>
          </w:p>
        </w:tc>
        <w:tc>
          <w:tcPr>
            <w:tcW w:w="702" w:type="dxa"/>
          </w:tcPr>
          <w:p w:rsidR="001114B1" w:rsidRPr="003F2A7B" w:rsidRDefault="00464DAA" w:rsidP="00464DAA">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22</w:t>
            </w:r>
          </w:p>
        </w:tc>
      </w:tr>
      <w:tr w:rsidR="00E00BA8" w:rsidRPr="003F2A7B" w:rsidTr="00C8081F">
        <w:tc>
          <w:tcPr>
            <w:tcW w:w="1129" w:type="dxa"/>
          </w:tcPr>
          <w:p w:rsidR="00E00BA8" w:rsidRPr="003F2A7B" w:rsidRDefault="00E00BA8" w:rsidP="00CB71E2">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Figure 6</w:t>
            </w:r>
          </w:p>
        </w:tc>
        <w:tc>
          <w:tcPr>
            <w:tcW w:w="7797" w:type="dxa"/>
          </w:tcPr>
          <w:p w:rsidR="00E00BA8" w:rsidRPr="003F2A7B" w:rsidRDefault="00E00BA8"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6G Network Architecture integration concept</w:t>
            </w:r>
          </w:p>
        </w:tc>
        <w:tc>
          <w:tcPr>
            <w:tcW w:w="702" w:type="dxa"/>
          </w:tcPr>
          <w:p w:rsidR="00E00BA8" w:rsidRPr="003F2A7B" w:rsidRDefault="00464DAA" w:rsidP="00464DAA">
            <w:pPr>
              <w:spacing w:line="360" w:lineRule="auto"/>
              <w:jc w:val="center"/>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25</w:t>
            </w:r>
          </w:p>
        </w:tc>
      </w:tr>
    </w:tbl>
    <w:p w:rsidR="001114B1" w:rsidRPr="003F2A7B" w:rsidRDefault="001114B1" w:rsidP="002A658F">
      <w:pPr>
        <w:spacing w:line="360" w:lineRule="auto"/>
        <w:rPr>
          <w:rFonts w:ascii="Times New Roman" w:hAnsi="Times New Roman" w:cs="Times New Roman"/>
          <w:sz w:val="24"/>
          <w:szCs w:val="24"/>
          <w:shd w:val="clear" w:color="auto" w:fill="FFFFFF"/>
          <w:lang w:val="en-US"/>
        </w:rPr>
      </w:pPr>
    </w:p>
    <w:p w:rsidR="00C8081F" w:rsidRPr="003F2A7B" w:rsidRDefault="00C8081F" w:rsidP="002A658F">
      <w:pPr>
        <w:spacing w:line="360" w:lineRule="auto"/>
        <w:jc w:val="center"/>
        <w:rPr>
          <w:rFonts w:ascii="Times New Roman" w:hAnsi="Times New Roman" w:cs="Times New Roman"/>
          <w:sz w:val="24"/>
          <w:szCs w:val="24"/>
          <w:shd w:val="clear" w:color="auto" w:fill="FFFFFF"/>
          <w:lang w:val="en-US"/>
        </w:rPr>
      </w:pPr>
    </w:p>
    <w:p w:rsidR="00C8081F" w:rsidRPr="003F2A7B" w:rsidRDefault="00C8081F" w:rsidP="002A658F">
      <w:pPr>
        <w:spacing w:line="360" w:lineRule="auto"/>
        <w:jc w:val="center"/>
        <w:rPr>
          <w:rFonts w:ascii="Times New Roman" w:hAnsi="Times New Roman" w:cs="Times New Roman"/>
          <w:sz w:val="24"/>
          <w:szCs w:val="24"/>
          <w:shd w:val="clear" w:color="auto" w:fill="FFFFFF"/>
          <w:lang w:val="en-US"/>
        </w:rPr>
      </w:pPr>
    </w:p>
    <w:p w:rsidR="00C8081F" w:rsidRPr="003F2A7B" w:rsidRDefault="00464DAA" w:rsidP="00464DAA">
      <w:pPr>
        <w:tabs>
          <w:tab w:val="left" w:pos="7964"/>
        </w:tabs>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ab/>
      </w:r>
    </w:p>
    <w:p w:rsidR="00E00BA8" w:rsidRPr="003F2A7B" w:rsidRDefault="00AE1C7C"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DESCRIPTION</w:t>
      </w:r>
    </w:p>
    <w:p w:rsidR="00C8081F" w:rsidRPr="003F2A7B" w:rsidRDefault="00C8081F" w:rsidP="002A658F">
      <w:pPr>
        <w:spacing w:line="360" w:lineRule="auto"/>
        <w:rPr>
          <w:rFonts w:ascii="Times New Roman" w:hAnsi="Times New Roman" w:cs="Times New Roman"/>
          <w:sz w:val="24"/>
          <w:szCs w:val="24"/>
          <w:shd w:val="clear" w:color="auto" w:fill="FFFFFF"/>
          <w:lang w:val="en-US"/>
        </w:rPr>
      </w:pPr>
    </w:p>
    <w:p w:rsidR="00545831" w:rsidRPr="003F2A7B" w:rsidRDefault="00545831" w:rsidP="00545831">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Comparison of Orbital Characteristics (LEO, MEO, GEO) ----------------------------------- Page 6</w:t>
      </w:r>
    </w:p>
    <w:p w:rsidR="00545831" w:rsidRPr="003F2A7B" w:rsidRDefault="00545831" w:rsidP="00545831">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C, Ku, and Ka band characteristics and applications ------------------------------------------- Page 8</w:t>
      </w:r>
    </w:p>
    <w:p w:rsidR="00545831" w:rsidRPr="003F2A7B" w:rsidRDefault="00545831" w:rsidP="00545831">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 xml:space="preserve">Modulation techniques for satellite communication -------------------------------------------- Page </w:t>
      </w:r>
      <w:r w:rsidR="003F2A7B" w:rsidRPr="003F2A7B">
        <w:rPr>
          <w:rFonts w:ascii="Times New Roman" w:hAnsi="Times New Roman" w:cs="Times New Roman"/>
          <w:sz w:val="24"/>
          <w:szCs w:val="24"/>
          <w:shd w:val="clear" w:color="auto" w:fill="FFFFFF"/>
          <w:lang w:val="en-US"/>
        </w:rPr>
        <w:t>9</w:t>
      </w:r>
    </w:p>
    <w:p w:rsidR="00545831" w:rsidRPr="003F2A7B" w:rsidRDefault="00545831" w:rsidP="00545831">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HTS system capabilities and spot beam specifications ----------------------------------------- Page 11</w:t>
      </w:r>
    </w:p>
    <w:p w:rsidR="00545831" w:rsidRPr="003F2A7B" w:rsidRDefault="00545831" w:rsidP="00545831">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Comparative analysis: Satellite vs. Terrestrial communication --------------------------------Page 15</w:t>
      </w:r>
    </w:p>
    <w:p w:rsidR="00545831" w:rsidRDefault="00545831" w:rsidP="00545831">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Atmospheric Attenuation Effects by Frequency Band ------------------------------------------Page 18</w:t>
      </w:r>
    </w:p>
    <w:p w:rsidR="007328A8" w:rsidRPr="003F2A7B" w:rsidRDefault="007328A8" w:rsidP="00545831">
      <w:pPr>
        <w:spacing w:line="360" w:lineRule="auto"/>
        <w:rPr>
          <w:rFonts w:ascii="Times New Roman" w:hAnsi="Times New Roman" w:cs="Times New Roman"/>
          <w:sz w:val="24"/>
          <w:szCs w:val="24"/>
          <w:shd w:val="clear" w:color="auto" w:fill="FFFFFF"/>
          <w:lang w:val="en-US"/>
        </w:rPr>
      </w:pPr>
    </w:p>
    <w:p w:rsidR="00545831" w:rsidRPr="003F2A7B" w:rsidRDefault="00545831" w:rsidP="002A658F">
      <w:pPr>
        <w:spacing w:line="360" w:lineRule="auto"/>
        <w:rPr>
          <w:rFonts w:ascii="Times New Roman" w:hAnsi="Times New Roman" w:cs="Times New Roman"/>
          <w:sz w:val="24"/>
          <w:szCs w:val="24"/>
          <w:shd w:val="clear" w:color="auto" w:fill="FFFFFF"/>
          <w:lang w:val="en-US"/>
        </w:rPr>
      </w:pPr>
    </w:p>
    <w:p w:rsidR="00FF36E9" w:rsidRPr="003F2A7B" w:rsidRDefault="00FF36E9" w:rsidP="002A658F">
      <w:pPr>
        <w:spacing w:line="360" w:lineRule="auto"/>
        <w:rPr>
          <w:rFonts w:ascii="Times New Roman" w:hAnsi="Times New Roman" w:cs="Times New Roman"/>
          <w:sz w:val="24"/>
          <w:szCs w:val="24"/>
          <w:shd w:val="clear" w:color="auto" w:fill="FFFFFF"/>
          <w:lang w:val="en-US"/>
        </w:rPr>
      </w:pPr>
    </w:p>
    <w:p w:rsidR="006872C9" w:rsidRPr="003F2A7B" w:rsidRDefault="004A157B"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lastRenderedPageBreak/>
        <w:t xml:space="preserve">1. </w:t>
      </w:r>
      <w:r w:rsidR="00C8081F" w:rsidRPr="003F2A7B">
        <w:rPr>
          <w:rFonts w:ascii="Times New Roman" w:hAnsi="Times New Roman" w:cs="Times New Roman"/>
          <w:sz w:val="24"/>
          <w:szCs w:val="24"/>
          <w:shd w:val="clear" w:color="auto" w:fill="FFFFFF"/>
          <w:lang w:val="en-US"/>
        </w:rPr>
        <w:t>INTRODUCTION</w:t>
      </w:r>
    </w:p>
    <w:p w:rsidR="00C8081F" w:rsidRPr="003F2A7B" w:rsidRDefault="00C8081F" w:rsidP="002A658F">
      <w:pPr>
        <w:spacing w:line="360" w:lineRule="auto"/>
        <w:ind w:firstLine="720"/>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rPr>
        <w:t xml:space="preserve">The evolution of satellite communication represents one of the most transformative technological developments in human history, fundamentally altering how information </w:t>
      </w:r>
      <w:r w:rsidR="006D6D90" w:rsidRPr="003F2A7B">
        <w:rPr>
          <w:rFonts w:ascii="Times New Roman" w:hAnsi="Times New Roman" w:cs="Times New Roman"/>
          <w:sz w:val="24"/>
          <w:szCs w:val="24"/>
          <w:shd w:val="clear" w:color="auto" w:fill="FFFFFF"/>
        </w:rPr>
        <w:t>traverses’</w:t>
      </w:r>
      <w:r w:rsidRPr="003F2A7B">
        <w:rPr>
          <w:rFonts w:ascii="Times New Roman" w:hAnsi="Times New Roman" w:cs="Times New Roman"/>
          <w:sz w:val="24"/>
          <w:szCs w:val="24"/>
          <w:shd w:val="clear" w:color="auto" w:fill="FFFFFF"/>
        </w:rPr>
        <w:t xml:space="preserve"> global boundaries and connects disparate populations across vast geographical expanses. Since the launch of Sputnik 1 in 1957, humanity has witnessed an unprecedented expansion of orbital infrastructure designed to facilitate wireless communication beyond terrestrial limitations (Pelton, 2020). This technological trajectory has culminated in sophisticated satellite networks that serve as critical backbone infrastructure for internet connectivity, broadcasting services, navigation systems, and emergency communications. The contemporary significance of satellite data</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communication cannot be overstated, as these systems enable seamless global connectivity in regions where terrestrial infrastructure remains economically unviable or technically impossible to deploy.</w:t>
      </w:r>
    </w:p>
    <w:p w:rsidR="006D6D90" w:rsidRPr="00D57A10" w:rsidRDefault="006D6D90" w:rsidP="002A658F">
      <w:pPr>
        <w:spacing w:line="360" w:lineRule="auto"/>
        <w:ind w:firstLine="720"/>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rPr>
        <w:t>The modern global data infrastructure relies heavily on satellite systems to bridge the digital divide and ensure ubiquitous connectivity across urban centre’s, remote rural areas, maritime environments and aerial</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 xml:space="preserve">platforms. According to recent industry analyses, satellite communication currently supports approximately 2,000 active satellites operating across various orbital regimes, with this number projected to exceed 50,000 by the end of this decade due to mega-constellation deployments (Mazzucato et al., 2021). This exponential growth reflects the increasing demand for high-speed data services, real-time applications, and the Internet of Things (IoT) connectivity that </w:t>
      </w:r>
      <w:r w:rsidR="00D57A10">
        <w:rPr>
          <w:rFonts w:ascii="Times New Roman" w:hAnsi="Times New Roman" w:cs="Times New Roman"/>
          <w:sz w:val="24"/>
          <w:szCs w:val="24"/>
          <w:shd w:val="clear" w:color="auto" w:fill="FFFFFF"/>
          <w:lang w:val="en-US"/>
        </w:rPr>
        <w:t xml:space="preserve"> </w:t>
      </w:r>
    </w:p>
    <w:p w:rsidR="006D6D90" w:rsidRPr="003F2A7B" w:rsidRDefault="006D6D90" w:rsidP="002A658F">
      <w:pPr>
        <w:spacing w:line="360" w:lineRule="auto"/>
        <w:ind w:firstLine="720"/>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The concept of "Satellite Zooming," formally known as High-Throughput Spot Beam technology, has emerged as a revolutionary approach to satellite data delivery. This technology enables satellites to focus transmission power into concentrated geographical areas, dramatically increasing bandwidth capacity and spectral efficiency compared to traditional broad coverage beams (Fenech et al., 2019). By</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implementing frequency reuse strategies across multiple spot beams, modern High-Throughput Satellites (HTS) can achieve throughput capacities exceeding 100 Gbps, representing orders of magnitude improvement over conventional satellite systems. This technological advancement has particular relevance for applications requiring high-resolution data acquisition, including remote sensing, precision agriculture, disaster monitoring, and military reconnaissance.</w:t>
      </w:r>
    </w:p>
    <w:p w:rsidR="006D6D90" w:rsidRPr="003F2A7B" w:rsidRDefault="006D6D90" w:rsidP="002A658F">
      <w:pPr>
        <w:spacing w:line="360" w:lineRule="auto"/>
        <w:ind w:firstLine="720"/>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This essay examines the architectural and functional complexities of satellite data communication systems, with specific focus on technical principles governing orbital mechanics, frequency spectrum allocation, and signal processing methodologies. The analysis extends to comparative evaluations between satellite and terrestrial communication paradigms, addressing inherent advantages and</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 xml:space="preserve">limitations of each approach. Furthermore, this research investigates </w:t>
      </w:r>
      <w:r w:rsidRPr="003F2A7B">
        <w:rPr>
          <w:rFonts w:ascii="Times New Roman" w:hAnsi="Times New Roman" w:cs="Times New Roman"/>
          <w:sz w:val="24"/>
          <w:szCs w:val="24"/>
          <w:shd w:val="clear" w:color="auto" w:fill="FFFFFF"/>
        </w:rPr>
        <w:lastRenderedPageBreak/>
        <w:t>significant challenges including atmospheric propagation effects, latency constraints, orbital debris proliferation, and cybersecurity vulnerabilities that threaten satellite infrastructure integrity. Finally, the essay explores emerging trends in 6G network integration and artificial intelligence applications that promise to reshape autonomous satellite operations and network management protocols.</w:t>
      </w:r>
    </w:p>
    <w:p w:rsidR="006D6D90" w:rsidRPr="003F2A7B" w:rsidRDefault="006D6D90" w:rsidP="002A658F">
      <w:pPr>
        <w:spacing w:line="360" w:lineRule="auto"/>
        <w:ind w:firstLine="720"/>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The structure of this essay follows a logical progression from foundational concepts to advanced applications, beginning with technical principles underlying satellite communication systems, progressing through specific analyses of spot beam technology and high-resolution data acquisition, and concluding with future-oriented perspectives on next-generation satellite networks. Throughout this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examination, the emphasis remains on demonstrating expert-level understanding of data communication principles while maintaining rigorous academic standards in research methodology and citation practices.</w:t>
      </w:r>
    </w:p>
    <w:p w:rsidR="006D6D90" w:rsidRPr="003F2A7B" w:rsidRDefault="006D6D90" w:rsidP="002A658F">
      <w:pPr>
        <w:spacing w:line="360" w:lineRule="auto"/>
        <w:rPr>
          <w:rFonts w:ascii="Times New Roman" w:hAnsi="Times New Roman" w:cs="Times New Roman"/>
          <w:sz w:val="24"/>
          <w:szCs w:val="24"/>
          <w:shd w:val="clear" w:color="auto" w:fill="FFFFFF"/>
          <w:lang w:val="en-US"/>
        </w:rPr>
      </w:pPr>
    </w:p>
    <w:p w:rsidR="006D6D90" w:rsidRPr="003F2A7B" w:rsidRDefault="006D6D9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 Technical Principles of Satellite Communication</w:t>
      </w:r>
    </w:p>
    <w:p w:rsidR="006D6D90" w:rsidRPr="003F2A7B" w:rsidRDefault="006D6D9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2.1 Orbital Mechanics and Satellite Constellations</w:t>
      </w:r>
    </w:p>
    <w:p w:rsidR="006D6D90" w:rsidRPr="003F2A7B" w:rsidRDefault="006D6D9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foundation of satellite communication rests upon precise</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understanding of orbital mechanics, which governs the motion of artificial satellites around Earth according to gravitational principles and Kepler's laws of planetary motion. Satellite orbits are classified primarily by altitude into three distinct categories: Low Earth Orbit (LEO), Medium Earth Orbit (MEO), and Geostationary Earth Orbit (GEO), each presenting unique characteristics regarding coverage area, latency, and operational complexity (Maral &amp; Bousquet, 2021).</w:t>
      </w:r>
    </w:p>
    <w:p w:rsidR="006D6D90" w:rsidRPr="003F2A7B" w:rsidRDefault="006D6D9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Geostationary Earth Orbit represents the most established satellite deployment regime, positioned at approximately 35,786 kilometres above Earth's equator. At this specific altitude, satellites maintain orbital periods matching Earth's rotation, appearing stationary relative to ground observers. This geostationary characteristic enables continuous coverage of specific geographical regions without requiring</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ground station antenna tracking systems. Traditional communication satellites utilizing GEO orbits, such as those operated by Intelsat and SES, have provided reliable broadcasting and telecommunications services for decades. However, the substantial distance introduces significant signal propagation delays, with round-trip latency typically exceeding 500 milliseconds, presenting challenges for real-time interactive applications (Evans, 2019).</w:t>
      </w:r>
    </w:p>
    <w:p w:rsidR="006D6D90" w:rsidRPr="003F2A7B" w:rsidRDefault="006D6D9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 xml:space="preserve">Low Earth Orbit has gained substantial prominence through recent mega-constellation deployments, notably SpaceX's Starlink, Amazon's Project Kuiper, and OneWeb systems. LEO satellites operate at altitudes ranging from 160 to 2,000 kilometers, significantly reducing </w:t>
      </w:r>
      <w:r w:rsidRPr="003F2A7B">
        <w:rPr>
          <w:rFonts w:ascii="Times New Roman" w:hAnsi="Times New Roman" w:cs="Times New Roman"/>
          <w:sz w:val="24"/>
          <w:szCs w:val="24"/>
          <w:shd w:val="clear" w:color="auto" w:fill="FFFFFF"/>
        </w:rPr>
        <w:lastRenderedPageBreak/>
        <w:t>propagation delays to approximately 20-40 milliseconds round-trip. This latency reduction makes LEO constellations particularly suitable for</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latency-sensitive applications including online gaming, video conferencing, and financial trading platforms. However, the lower orbital altitude necessitates larger constellation sizes to maintain continuous global coverage, with Starlink alone deploying over 4,000 satellites to achieve comprehensive service availability (Handley, 2021). The increased satellite density introduces complex coordination challenges regarding orbital slot allocation, collision avoidance</w:t>
      </w:r>
      <w:r w:rsidRPr="003F2A7B">
        <w:rPr>
          <w:rFonts w:ascii="Times New Roman" w:hAnsi="Times New Roman" w:cs="Times New Roman"/>
          <w:sz w:val="24"/>
          <w:szCs w:val="24"/>
          <w:shd w:val="clear" w:color="auto" w:fill="FFFFFF"/>
          <w:lang w:val="en-US"/>
        </w:rPr>
        <w:t xml:space="preserve"> protocols and spectrum sharing mechanisms. </w:t>
      </w:r>
    </w:p>
    <w:p w:rsidR="002D3B99" w:rsidRPr="003F2A7B" w:rsidRDefault="006D6D90"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Medium Earth Orbit occupies the intermediate region between LEO and GEO, typically ranging from 8,000 to 12,000 kilometers altitude. MEO satellites offer compromise solutions balancing coverage capabilities with latency performance, requiring fewer satellites than LEO constellations while providing lower latency than geostationary</w:t>
      </w:r>
      <w:r w:rsidR="002D3B99" w:rsidRPr="003F2A7B">
        <w:rPr>
          <w:rFonts w:ascii="Times New Roman" w:hAnsi="Times New Roman" w:cs="Times New Roman"/>
          <w:sz w:val="24"/>
          <w:szCs w:val="24"/>
          <w:shd w:val="clear" w:color="auto" w:fill="FFFFFF"/>
          <w:lang w:val="en-US"/>
        </w:rPr>
        <w:t xml:space="preserve"> </w:t>
      </w:r>
      <w:r w:rsidR="002D3B99" w:rsidRPr="003F2A7B">
        <w:rPr>
          <w:rFonts w:ascii="Times New Roman" w:eastAsia="Times New Roman" w:hAnsi="Times New Roman" w:cs="Times New Roman"/>
          <w:sz w:val="24"/>
          <w:szCs w:val="24"/>
          <w:lang w:eastAsia="en-GH"/>
        </w:rPr>
        <w:t>alternatives. The Global Positioning System (GPS) and other navigation satellite constellations, including Galileo and GLONASS, utilize MEO orbits to achieve global coverage with constellation sizes of 24-30 satellites (Kaplan &amp; Hegarty, 2017). Recent developments in satellite communication have seen renewed interest in MEO deployments for broadband services, with O3b Networks (now part of SES) demonstrating the viability of MEO constellations for delivering high-throughput connectivity to underserved regions.</w:t>
      </w:r>
    </w:p>
    <w:p w:rsidR="006D6D90" w:rsidRPr="003F2A7B" w:rsidRDefault="0018761A"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3692884</wp:posOffset>
            </wp:positionH>
            <wp:positionV relativeFrom="paragraph">
              <wp:posOffset>2439753</wp:posOffset>
            </wp:positionV>
            <wp:extent cx="2374265" cy="2035534"/>
            <wp:effectExtent l="0" t="0" r="6985" b="3175"/>
            <wp:wrapNone/>
            <wp:docPr id="2" name="Picture 2" descr="C:\Users\Henry Asiedu Amoah\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nry Asiedu Amoah\Desktop\imag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5160" cy="20363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3B99" w:rsidRPr="003F2A7B">
        <w:rPr>
          <w:rFonts w:ascii="Times New Roman" w:hAnsi="Times New Roman" w:cs="Times New Roman"/>
          <w:sz w:val="24"/>
          <w:szCs w:val="24"/>
          <w:shd w:val="clear" w:color="auto" w:fill="FFFFFF"/>
          <w:lang w:val="en-US"/>
        </w:rPr>
        <w:tab/>
      </w:r>
      <w:r w:rsidR="002D3B99" w:rsidRPr="003F2A7B">
        <w:rPr>
          <w:rFonts w:ascii="Times New Roman" w:hAnsi="Times New Roman" w:cs="Times New Roman"/>
          <w:sz w:val="24"/>
          <w:szCs w:val="24"/>
        </w:rPr>
        <w:t xml:space="preserve">Orbital inclination and eccentricity represent additional critical parameters influencing satellite communication performance. Inclination angles determine the latitudinal coverage limits of satellite orbits, with equatorial orbits providing concentrated coverage near the equator while polar orbits enable global coverage including high-latitude regions. Circular orbits maintain consistent altitudes and </w:t>
      </w:r>
      <w:r w:rsidR="002D3B99" w:rsidRPr="003F2A7B">
        <w:rPr>
          <w:rFonts w:ascii="Times New Roman" w:hAnsi="Times New Roman" w:cs="Times New Roman"/>
          <w:sz w:val="24"/>
          <w:szCs w:val="24"/>
          <w:shd w:val="clear" w:color="auto" w:fill="FFFFFF"/>
        </w:rPr>
        <w:t>velocities, whereas elliptical orbits, such as those employed by the Molniya system, enable extended dwell times over specific high-latitude regions through apogee positioning (Richharia, 2018). The selection of orbital parameters involves complex trade-offs between coverage requirements, launch costs, operational lifespans, and regulatory constraints imposed by international coordination bodies.</w:t>
      </w:r>
    </w:p>
    <w:p w:rsidR="006872C9" w:rsidRPr="003F2A7B" w:rsidRDefault="00F00AFA" w:rsidP="002A658F">
      <w:pPr>
        <w:pStyle w:val="NormalWeb"/>
        <w:spacing w:line="360" w:lineRule="auto"/>
      </w:pPr>
      <w:r w:rsidRPr="003F2A7B">
        <w:rPr>
          <w:noProof/>
        </w:rPr>
        <w:drawing>
          <wp:anchor distT="0" distB="0" distL="114300" distR="114300" simplePos="0" relativeHeight="251659264" behindDoc="0" locked="0" layoutInCell="1" allowOverlap="1">
            <wp:simplePos x="0" y="0"/>
            <wp:positionH relativeFrom="column">
              <wp:posOffset>50800</wp:posOffset>
            </wp:positionH>
            <wp:positionV relativeFrom="paragraph">
              <wp:posOffset>66565</wp:posOffset>
            </wp:positionV>
            <wp:extent cx="3152140" cy="1868170"/>
            <wp:effectExtent l="0" t="0" r="0" b="0"/>
            <wp:wrapNone/>
            <wp:docPr id="1" name="Picture 1" descr="C:\Users\Henry Asiedu Amoah\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nry Asiedu Amoah\Desktop\downloa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140" cy="18681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761A" w:rsidRPr="003F2A7B" w:rsidRDefault="0018761A" w:rsidP="002A658F">
      <w:pPr>
        <w:pStyle w:val="NormalWeb"/>
        <w:spacing w:line="360" w:lineRule="auto"/>
      </w:pPr>
    </w:p>
    <w:p w:rsidR="006872C9" w:rsidRPr="003F2A7B" w:rsidRDefault="006872C9" w:rsidP="002A658F">
      <w:pPr>
        <w:spacing w:line="360" w:lineRule="auto"/>
        <w:rPr>
          <w:rFonts w:ascii="Times New Roman" w:hAnsi="Times New Roman" w:cs="Times New Roman"/>
          <w:sz w:val="24"/>
          <w:szCs w:val="24"/>
          <w:shd w:val="clear" w:color="auto" w:fill="FFFFFF"/>
          <w:lang w:val="en-US"/>
        </w:rPr>
      </w:pPr>
    </w:p>
    <w:p w:rsidR="0018761A" w:rsidRPr="003F2A7B" w:rsidRDefault="00C11F88"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noProof/>
          <w:sz w:val="24"/>
          <w:szCs w:val="24"/>
          <w:shd w:val="clear" w:color="auto" w:fill="FFFFFF"/>
          <w:lang w:val="en-US"/>
        </w:rPr>
        <mc:AlternateContent>
          <mc:Choice Requires="wps">
            <w:drawing>
              <wp:anchor distT="45720" distB="45720" distL="114300" distR="114300" simplePos="0" relativeHeight="251688960" behindDoc="0" locked="0" layoutInCell="1" allowOverlap="1">
                <wp:simplePos x="0" y="0"/>
                <wp:positionH relativeFrom="column">
                  <wp:posOffset>2868957</wp:posOffset>
                </wp:positionH>
                <wp:positionV relativeFrom="paragraph">
                  <wp:posOffset>762773</wp:posOffset>
                </wp:positionV>
                <wp:extent cx="2360930" cy="140462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11F88" w:rsidRPr="00C11F88" w:rsidRDefault="00C11F88">
                            <w:pPr>
                              <w:rPr>
                                <w:sz w:val="24"/>
                                <w:lang w:val="en-US"/>
                              </w:rPr>
                            </w:pPr>
                            <w:r>
                              <w:rPr>
                                <w:sz w:val="24"/>
                                <w:lang w:val="en-US"/>
                              </w:rPr>
                              <w:t>Figure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25.9pt;margin-top:60.05pt;width:185.9pt;height:110.6pt;z-index:2516889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" stroked="f">
                <v:textbox style="mso-fit-shape-to-text:t">
                  <w:txbxContent>
                    <w:p w:rsidR="00C11F88" w:rsidRPr="00C11F88" w:rsidRDefault="00C11F88">
                      <w:pPr>
                        <w:rPr>
                          <w:sz w:val="24"/>
                          <w:lang w:val="en-US"/>
                        </w:rPr>
                      </w:pPr>
                      <w:r>
                        <w:rPr>
                          <w:sz w:val="24"/>
                          <w:lang w:val="en-US"/>
                        </w:rPr>
                        <w:t>Figure 1</w:t>
                      </w:r>
                    </w:p>
                  </w:txbxContent>
                </v:textbox>
              </v:shape>
            </w:pict>
          </mc:Fallback>
        </mc:AlternateContent>
      </w:r>
    </w:p>
    <w:p w:rsidR="0018761A" w:rsidRPr="003F2A7B" w:rsidRDefault="0018761A" w:rsidP="002A658F">
      <w:pPr>
        <w:spacing w:line="360" w:lineRule="auto"/>
        <w:rPr>
          <w:rFonts w:ascii="Times New Roman" w:hAnsi="Times New Roman" w:cs="Times New Roman"/>
          <w:sz w:val="24"/>
          <w:szCs w:val="24"/>
          <w:shd w:val="clear" w:color="auto" w:fill="FFFFFF"/>
          <w:lang w:val="en-US"/>
        </w:rPr>
      </w:pPr>
    </w:p>
    <w:p w:rsidR="0018761A" w:rsidRPr="003F2A7B" w:rsidRDefault="0018761A"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lastRenderedPageBreak/>
        <w:t>2.2 Frequency Spectrum Management</w:t>
      </w:r>
    </w:p>
    <w:p w:rsidR="0018761A" w:rsidRPr="003F2A7B" w:rsidRDefault="0018761A"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Effective satellite communication requires careful management of electromagnetic spectrum resources, with frequency allocation governed by international regulations established through the International Telecommunication Union (ITU). The radio frequency spectrum is divided into designated bands for satellite communication,</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with C-band, Ku-band, and Ka-band representing the primary frequencies utilized for commercial data transmission (Ippolito, 2017).</w:t>
      </w:r>
    </w:p>
    <w:p w:rsidR="0018761A" w:rsidRPr="003F2A7B" w:rsidRDefault="0018761A"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t xml:space="preserve"> </w:t>
      </w:r>
      <w:r w:rsidRPr="003F2A7B">
        <w:rPr>
          <w:rFonts w:ascii="Times New Roman" w:hAnsi="Times New Roman" w:cs="Times New Roman"/>
          <w:sz w:val="24"/>
          <w:szCs w:val="24"/>
          <w:shd w:val="clear" w:color="auto" w:fill="FFFFFF"/>
        </w:rPr>
        <w:t xml:space="preserve">C-band operations utilize frequencies between 4-8 GHz, specifically 3.7-4.2 GHz for downlink and 5.925-6.425 GHz for uplink communications. This frequency range offers </w:t>
      </w:r>
      <w:r w:rsidR="00BB1269" w:rsidRPr="003F2A7B">
        <w:rPr>
          <w:rFonts w:ascii="Times New Roman" w:hAnsi="Times New Roman" w:cs="Times New Roman"/>
          <w:sz w:val="24"/>
          <w:szCs w:val="24"/>
          <w:shd w:val="clear" w:color="auto" w:fill="FFFFFF"/>
        </w:rPr>
        <w:t>favourable</w:t>
      </w:r>
      <w:r w:rsidRPr="003F2A7B">
        <w:rPr>
          <w:rFonts w:ascii="Times New Roman" w:hAnsi="Times New Roman" w:cs="Times New Roman"/>
          <w:sz w:val="24"/>
          <w:szCs w:val="24"/>
          <w:shd w:val="clear" w:color="auto" w:fill="FFFFFF"/>
        </w:rPr>
        <w:t xml:space="preserve"> propagation characteristics, including reduced susceptibility to rain fade and</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atmospheric attenuation, making C-band particularly suitable for tropical regions and applications requiring high reliability. However, the relatively low frequencies limit available bandwidth, constraining data throughput capabilities compared to higher frequency alternatives. Additionally, C-band spectrum faces increasing pressure from terrestrial 5G deployments, necessitating coordination mechanisms to prevent interference between satellite and ground-based systems (Saunders &amp;</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Aragon-Zavala, 2020).</w:t>
      </w:r>
    </w:p>
    <w:p w:rsidR="0018761A" w:rsidRPr="003F2A7B" w:rsidRDefault="0018761A"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Ku-band operations span 12-18 GHz, with typical satellite communication utilizing 11.7-12.2 GHz for downlink and 14.0-14.5 GHz for uplink frequencies. This band represents the current workhorse of satellite broadcasting and broadband services, offering improved bandwidth availability compared to C-band while maintaining</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acceptable propagation characteristics. Direct-to-home satellite television services extensively utilize Ku-band frequencies, with digital video broadcasting standards enabling efficient spectrum utilization through compression algorithms and modulation techniques. The reduced antenna size requirements at Ku-band frequencies facilitate consumer-grade equipment deployment, though increased susceptibility to rain fade necessitates link margin calculations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accounting for regional precipitation statistics (Roddy, 2020).</w:t>
      </w:r>
    </w:p>
    <w:p w:rsidR="0018761A" w:rsidRPr="003F2A7B" w:rsidRDefault="0018761A"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Ka-band operations exploit frequencies between 26.5-40 GHz, providing substantially increased bandwidth availability that enables High-Throughput Satellite capabilities. The wider spectrum allocation at Ka-band supports spot beam architectures with aggressive frequency reuse patterns, facilitating the gigabit-per-second throughput</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capabilities characteristic of modern HTS systems. However, Ka-band propagation experiences significant atmospheric attenuation, particularly rain fade effects that can degrade signal quality during precipitation events. Advanced adaptive coding and modulation techniques, combined with uplink power control mechanisms, mitigate these propagation challenges while maximizing spectral efficiency (Gallagher et al., 2019).</w:t>
      </w:r>
    </w:p>
    <w:p w:rsidR="003C2BDD" w:rsidRPr="003F2A7B" w:rsidRDefault="003C2BDD"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lastRenderedPageBreak/>
        <w:tab/>
        <w:t>Emerging V-band frequencies (40-75 GHz) and Q-band (33-50 GHz) represent next-generation spectrum resources for satellite communication, offering unprecedented bandwidth availability for future high-capacity systems. These extremely high frequencies enable terabit-class satellite throughput but introduce substantial technical challenges regarding atmospheric absorption, particularly oxygen and</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water vapor attenuation at specific frequency ranges. Experimental satellites, including those operated by SpaceX and Amazon, are currently evaluating V-band propagation characteristics and system feasibility for future constellation deployments (Chuberre et al., 2021).</w:t>
      </w:r>
    </w:p>
    <w:p w:rsidR="003C2BDD" w:rsidRPr="003F2A7B" w:rsidRDefault="003C2BDD"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Spectrum coordination and interference management constitute critical regulatory challenges in satellite communication deployment. The ITU</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Radio Regulations establish procedures for frequency coordination, requiring satellite operators to demonstrate compatibility with existing systems and negotiate sharing agreements when necessary. The increasing density of satellite constellations, particularly in LEO regimes, intensifies interference concerns requiring sophisticated spectrum sharing techniques including cognitive radio approaches, dynamic spectrum allocation, and beam nulling capabilities to protect adjacent</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satellite operations (Sharma et al., 2020).</w:t>
      </w:r>
    </w:p>
    <w:p w:rsidR="00BB1269" w:rsidRPr="003F2A7B" w:rsidRDefault="00C97F5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noProof/>
          <w:sz w:val="24"/>
          <w:szCs w:val="24"/>
          <w:shd w:val="clear" w:color="auto" w:fill="FFFFFF"/>
          <w:lang w:val="en-US"/>
        </w:rPr>
        <w:drawing>
          <wp:anchor distT="0" distB="0" distL="114300" distR="114300" simplePos="0" relativeHeight="251660288" behindDoc="0" locked="0" layoutInCell="1" allowOverlap="1">
            <wp:simplePos x="0" y="0"/>
            <wp:positionH relativeFrom="column">
              <wp:posOffset>75040</wp:posOffset>
            </wp:positionH>
            <wp:positionV relativeFrom="paragraph">
              <wp:posOffset>127414</wp:posOffset>
            </wp:positionV>
            <wp:extent cx="2767054" cy="1887283"/>
            <wp:effectExtent l="0" t="0" r="0" b="0"/>
            <wp:wrapNone/>
            <wp:docPr id="3" name="Picture 3" descr="C:\Users\Henry Asiedu Amoah\AppData\Local\Microsoft\Windows\INetCache\Content.MSO\89F74F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enry Asiedu Amoah\AppData\Local\Microsoft\Windows\INetCache\Content.MSO\89F74F4A.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9454" cy="19025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1269" w:rsidRPr="003F2A7B">
        <w:rPr>
          <w:rFonts w:ascii="Times New Roman" w:hAnsi="Times New Roman" w:cs="Times New Roman"/>
          <w:noProof/>
          <w:sz w:val="24"/>
          <w:szCs w:val="24"/>
          <w:lang w:val="en-US"/>
        </w:rPr>
        <w:drawing>
          <wp:anchor distT="0" distB="0" distL="114300" distR="114300" simplePos="0" relativeHeight="251661312" behindDoc="0" locked="0" layoutInCell="1" allowOverlap="1">
            <wp:simplePos x="0" y="0"/>
            <wp:positionH relativeFrom="column">
              <wp:posOffset>3103162</wp:posOffset>
            </wp:positionH>
            <wp:positionV relativeFrom="paragraph">
              <wp:posOffset>183487</wp:posOffset>
            </wp:positionV>
            <wp:extent cx="3067334" cy="1749122"/>
            <wp:effectExtent l="0" t="0" r="0" b="3810"/>
            <wp:wrapNone/>
            <wp:docPr id="4" name="Picture 4" descr="C:\Users\Henry Asiedu Amoah\AppData\Local\Microsoft\Windows\INetCache\Content.MSO\F30B55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enry Asiedu Amoah\AppData\Local\Microsoft\Windows\INetCache\Content.MSO\F30B55E8.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1394" cy="1751437"/>
                    </a:xfrm>
                    <a:prstGeom prst="rect">
                      <a:avLst/>
                    </a:prstGeom>
                    <a:noFill/>
                    <a:ln>
                      <a:noFill/>
                    </a:ln>
                  </pic:spPr>
                </pic:pic>
              </a:graphicData>
            </a:graphic>
            <wp14:sizeRelV relativeFrom="margin">
              <wp14:pctHeight>0</wp14:pctHeight>
            </wp14:sizeRelV>
          </wp:anchor>
        </w:drawing>
      </w:r>
    </w:p>
    <w:p w:rsidR="006B6568" w:rsidRPr="003F2A7B" w:rsidRDefault="006B6568" w:rsidP="002A658F">
      <w:pPr>
        <w:tabs>
          <w:tab w:val="left" w:pos="6031"/>
        </w:tabs>
        <w:spacing w:line="360" w:lineRule="auto"/>
        <w:rPr>
          <w:rFonts w:ascii="Times New Roman" w:hAnsi="Times New Roman" w:cs="Times New Roman"/>
          <w:sz w:val="24"/>
          <w:szCs w:val="24"/>
          <w:lang w:val="en-US"/>
        </w:rPr>
      </w:pPr>
    </w:p>
    <w:p w:rsidR="006B6568" w:rsidRPr="003F2A7B" w:rsidRDefault="006B6568" w:rsidP="002A658F">
      <w:pPr>
        <w:tabs>
          <w:tab w:val="left" w:pos="6031"/>
        </w:tabs>
        <w:spacing w:line="360" w:lineRule="auto"/>
        <w:rPr>
          <w:rFonts w:ascii="Times New Roman" w:hAnsi="Times New Roman" w:cs="Times New Roman"/>
          <w:sz w:val="24"/>
          <w:szCs w:val="24"/>
          <w:lang w:val="en-US"/>
        </w:rPr>
      </w:pPr>
    </w:p>
    <w:p w:rsidR="006B6568" w:rsidRPr="003F2A7B" w:rsidRDefault="006B6568" w:rsidP="002A658F">
      <w:pPr>
        <w:tabs>
          <w:tab w:val="left" w:pos="6031"/>
        </w:tabs>
        <w:spacing w:line="360" w:lineRule="auto"/>
        <w:rPr>
          <w:rFonts w:ascii="Times New Roman" w:hAnsi="Times New Roman" w:cs="Times New Roman"/>
          <w:sz w:val="24"/>
          <w:szCs w:val="24"/>
          <w:lang w:val="en-US"/>
        </w:rPr>
      </w:pPr>
    </w:p>
    <w:p w:rsidR="006B6568" w:rsidRPr="003F2A7B" w:rsidRDefault="006B6568" w:rsidP="002A658F">
      <w:pPr>
        <w:tabs>
          <w:tab w:val="left" w:pos="6031"/>
        </w:tabs>
        <w:spacing w:line="360" w:lineRule="auto"/>
        <w:rPr>
          <w:rFonts w:ascii="Times New Roman" w:hAnsi="Times New Roman" w:cs="Times New Roman"/>
          <w:sz w:val="24"/>
          <w:szCs w:val="24"/>
          <w:lang w:val="en-US"/>
        </w:rPr>
      </w:pPr>
    </w:p>
    <w:p w:rsidR="006B6568" w:rsidRPr="003F2A7B" w:rsidRDefault="00223769" w:rsidP="002A658F">
      <w:pPr>
        <w:tabs>
          <w:tab w:val="left" w:pos="6031"/>
        </w:tabs>
        <w:spacing w:line="360" w:lineRule="auto"/>
        <w:rPr>
          <w:rFonts w:ascii="Times New Roman" w:hAnsi="Times New Roman" w:cs="Times New Roman"/>
          <w:sz w:val="24"/>
          <w:szCs w:val="24"/>
          <w:lang w:val="en-US"/>
        </w:rPr>
      </w:pPr>
      <w:r w:rsidRPr="003F2A7B">
        <w:rPr>
          <w:rFonts w:ascii="Times New Roman" w:hAnsi="Times New Roman" w:cs="Times New Roman"/>
          <w:noProof/>
          <w:sz w:val="24"/>
          <w:szCs w:val="24"/>
          <w:shd w:val="clear" w:color="auto" w:fill="FFFFFF"/>
          <w:lang w:val="en-US"/>
        </w:rPr>
        <mc:AlternateContent>
          <mc:Choice Requires="wps">
            <w:drawing>
              <wp:anchor distT="45720" distB="45720" distL="114300" distR="114300" simplePos="0" relativeHeight="251691008" behindDoc="0" locked="0" layoutInCell="1" allowOverlap="1">
                <wp:simplePos x="0" y="0"/>
                <wp:positionH relativeFrom="column">
                  <wp:posOffset>2559188</wp:posOffset>
                </wp:positionH>
                <wp:positionV relativeFrom="paragraph">
                  <wp:posOffset>254110</wp:posOffset>
                </wp:positionV>
                <wp:extent cx="2360930" cy="1404620"/>
                <wp:effectExtent l="0" t="0" r="9525"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223769" w:rsidRPr="00223769" w:rsidRDefault="00223769">
                            <w:pPr>
                              <w:rPr>
                                <w:lang w:val="en-US"/>
                              </w:rPr>
                            </w:pPr>
                            <w:r>
                              <w:rPr>
                                <w:lang w:val="en-US"/>
                              </w:rPr>
                              <w:t>Figure 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201.5pt;margin-top:20pt;width:185.9pt;height:110.6pt;z-index:2516910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" stroked="f">
                <v:textbox style="mso-fit-shape-to-text:t">
                  <w:txbxContent>
                    <w:p w:rsidR="00223769" w:rsidRPr="00223769" w:rsidRDefault="00223769">
                      <w:pPr>
                        <w:rPr>
                          <w:lang w:val="en-US"/>
                        </w:rPr>
                      </w:pPr>
                      <w:r>
                        <w:rPr>
                          <w:lang w:val="en-US"/>
                        </w:rPr>
                        <w:t>Figure 2</w:t>
                      </w:r>
                    </w:p>
                  </w:txbxContent>
                </v:textbox>
              </v:shape>
            </w:pict>
          </mc:Fallback>
        </mc:AlternateContent>
      </w:r>
    </w:p>
    <w:p w:rsidR="006B6568" w:rsidRPr="003F2A7B" w:rsidRDefault="006B6568" w:rsidP="002A658F">
      <w:pPr>
        <w:tabs>
          <w:tab w:val="left" w:pos="6031"/>
        </w:tabs>
        <w:spacing w:line="360" w:lineRule="auto"/>
        <w:rPr>
          <w:rFonts w:ascii="Times New Roman" w:hAnsi="Times New Roman" w:cs="Times New Roman"/>
          <w:sz w:val="24"/>
          <w:szCs w:val="24"/>
          <w:lang w:val="en-US"/>
        </w:rPr>
      </w:pPr>
    </w:p>
    <w:p w:rsidR="00BB1269" w:rsidRPr="003F2A7B" w:rsidRDefault="00BB1269" w:rsidP="002A658F">
      <w:pPr>
        <w:tabs>
          <w:tab w:val="left" w:pos="6031"/>
        </w:tabs>
        <w:spacing w:line="360" w:lineRule="auto"/>
        <w:rPr>
          <w:rFonts w:ascii="Times New Roman" w:hAnsi="Times New Roman" w:cs="Times New Roman"/>
          <w:sz w:val="24"/>
          <w:szCs w:val="24"/>
          <w:lang w:val="en-US"/>
        </w:rPr>
      </w:pPr>
    </w:p>
    <w:p w:rsidR="00C373F4" w:rsidRPr="003F2A7B" w:rsidRDefault="0011005D" w:rsidP="002A658F">
      <w:pPr>
        <w:tabs>
          <w:tab w:val="left" w:pos="6031"/>
        </w:tabs>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2.3 Signal Modulation and Multiples Access Techniques</w:t>
      </w:r>
    </w:p>
    <w:p w:rsidR="00F66DDF" w:rsidRPr="003F2A7B" w:rsidRDefault="00F66DDF" w:rsidP="002A658F">
      <w:pPr>
        <w:tabs>
          <w:tab w:val="left" w:pos="6031"/>
        </w:tabs>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 xml:space="preserve">        </w:t>
      </w:r>
      <w:r w:rsidR="00DC4777"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Signal modulation techniques convert digital data into radio frequency waveforms suitable for satellite transmission, with selection criteria balancing spectral efficiency, power efficiency, and implementation complexity. Modern satellite systems predominantly utilize phase-shift keying (PSK) and amplitude-phase shift keying (APSK) modulation</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schemes, with specific variants selected based on link conditions and service requirements (Bhatt et al., 2020).</w:t>
      </w:r>
    </w:p>
    <w:p w:rsidR="00EF7064" w:rsidRPr="003F2A7B" w:rsidRDefault="00EF7064" w:rsidP="002A658F">
      <w:pPr>
        <w:shd w:val="clear" w:color="auto" w:fill="FFFFFF"/>
        <w:spacing w:line="360" w:lineRule="auto"/>
        <w:ind w:firstLine="720"/>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sz w:val="24"/>
          <w:szCs w:val="24"/>
          <w:shd w:val="clear" w:color="auto" w:fill="FFFFFF"/>
        </w:rPr>
        <w:lastRenderedPageBreak/>
        <w:t>Quadrature Phase Shift Keying (QPSK) represents a fundamental modulation technique encoding two bits per symbol through four distinct phase states. QPSK provides robust performance under noisy channel conditions while maintaining reasonable spectral efficiency,</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making it suitable for broadcast applications and links with limited power margins. Higher-order modulation schemes including 8-PSK, 16-APSK, and 32-APSK increase spectral efficiency by encoding more bits per symbol, though at the cost of reduced noise immunity and increased susceptibility to phase noise and non-linear distortion. The DVB-S2 and DVB-S2X standards, widely adopted for satellite digital video broadcasting, support adaptive modulation coding schemes ranging</w:t>
      </w:r>
      <w:r w:rsidRPr="003F2A7B">
        <w:rPr>
          <w:rFonts w:ascii="Times New Roman" w:hAnsi="Times New Roman" w:cs="Times New Roman"/>
          <w:sz w:val="24"/>
          <w:szCs w:val="24"/>
          <w:shd w:val="clear" w:color="auto" w:fill="FFFFFF"/>
          <w:lang w:val="en-US"/>
        </w:rPr>
        <w:t xml:space="preserve"> </w:t>
      </w:r>
      <w:r w:rsidRPr="003F2A7B">
        <w:rPr>
          <w:rFonts w:ascii="Times New Roman" w:eastAsia="Times New Roman" w:hAnsi="Times New Roman" w:cs="Times New Roman"/>
          <w:sz w:val="24"/>
          <w:szCs w:val="24"/>
          <w:lang w:eastAsia="en-GH"/>
        </w:rPr>
        <w:t>from QPSK to 256-APSK, enabling dynamic optimization based on link conditions (Etsi, 2019).</w:t>
      </w:r>
    </w:p>
    <w:p w:rsidR="00DC4777" w:rsidRPr="003F2A7B" w:rsidRDefault="00DC4777" w:rsidP="002A658F">
      <w:pPr>
        <w:shd w:val="clear" w:color="auto" w:fill="FFFFFF"/>
        <w:spacing w:line="360" w:lineRule="auto"/>
        <w:ind w:firstLine="720"/>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Forward Error Correction (FEC) coding complements modulation techniques by adding redundant information enabling receiver-side error detection and correction without requiring retransmission. Low-Density Parity-Check (LDPC) codes and turbo codes represent state-of-</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the-art FEC implementations in satellite communication, approaching Shannon limit performance with manageable decoding complexity. The combination of advanced modulation and coding schemes enables satellite links to operate within 1-2 dB of theoretical capacity limits, maximizing data throughput within available power and bandwidth constraints (Ryan &amp; Lin, 2019).</w:t>
      </w:r>
    </w:p>
    <w:p w:rsidR="00DC4777" w:rsidRPr="003F2A7B" w:rsidRDefault="00DC4777"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sz w:val="24"/>
          <w:szCs w:val="24"/>
          <w:shd w:val="clear" w:color="auto" w:fill="FFFFFF"/>
        </w:rPr>
        <w:t>Multiple access techniques enable multiple users to share satellite transponder resources efficiently. Frequency Division Multiple Access (FDMA) allocates distinct frequency channels to different users, providing simple implementation but limited flexibility in bandwidth allocation. Time Division Multiple Access (TDMA) assigns time slots within shared frequencies, enabling dynamic bandwidth allocation but requiring precise synchronization across the coverage area. Code</w:t>
      </w:r>
      <w:r w:rsidRPr="003F2A7B">
        <w:rPr>
          <w:rFonts w:ascii="Times New Roman" w:hAnsi="Times New Roman" w:cs="Times New Roman"/>
          <w:sz w:val="24"/>
          <w:szCs w:val="24"/>
          <w:shd w:val="clear" w:color="auto" w:fill="FFFFFF"/>
          <w:lang w:val="en-US"/>
        </w:rPr>
        <w:t xml:space="preserve"> </w:t>
      </w:r>
      <w:r w:rsidRPr="003F2A7B">
        <w:rPr>
          <w:rFonts w:ascii="Times New Roman" w:eastAsia="Times New Roman" w:hAnsi="Times New Roman" w:cs="Times New Roman"/>
          <w:sz w:val="24"/>
          <w:szCs w:val="24"/>
          <w:lang w:eastAsia="en-GH"/>
        </w:rPr>
        <w:t>Division Multiple Access (CDMA) utilizes spread spectrum techniques allowing simultaneous frequency sharing through orthogonal code sequences, offering interference resistance and soft capacity limits (Pratt et al., 2021).</w:t>
      </w:r>
    </w:p>
    <w:p w:rsidR="00DC4777" w:rsidRPr="003F2A7B" w:rsidRDefault="00184EB2" w:rsidP="002A658F">
      <w:pPr>
        <w:shd w:val="clear" w:color="auto" w:fill="FFFFFF"/>
        <w:spacing w:line="360" w:lineRule="auto"/>
        <w:ind w:firstLine="720"/>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Orthogonal Frequency Division Multiple Access (OFDMA) has emerged as a preferred multiple access technique for next-generation satellite</w:t>
      </w:r>
      <w:r w:rsidR="003349F6" w:rsidRPr="003F2A7B">
        <w:rPr>
          <w:rFonts w:ascii="Times New Roman" w:hAnsi="Times New Roman" w:cs="Times New Roman"/>
          <w:sz w:val="24"/>
          <w:szCs w:val="24"/>
          <w:shd w:val="clear" w:color="auto" w:fill="FFFFFF"/>
          <w:lang w:val="en-US"/>
        </w:rPr>
        <w:t xml:space="preserve"> </w:t>
      </w:r>
      <w:r w:rsidR="003349F6" w:rsidRPr="003F2A7B">
        <w:rPr>
          <w:rFonts w:ascii="Times New Roman" w:hAnsi="Times New Roman" w:cs="Times New Roman"/>
          <w:sz w:val="24"/>
          <w:szCs w:val="24"/>
          <w:shd w:val="clear" w:color="auto" w:fill="FFFFFF"/>
        </w:rPr>
        <w:t>systems, particularly in multi-beam HTS architectures. OFDMA divides available bandwidth into numerous orthogonal subcarriers assigned to different users based on demand and channel conditions. This approach enables fine-grained resource allocation, frequency-selective scheduling, and efficient spectrum utilization across diverse service requirements. The integration of OFDMA with beamforming capabilities supports advanced interference management strategies essential for aggressive</w:t>
      </w:r>
      <w:r w:rsidR="003349F6" w:rsidRPr="003F2A7B">
        <w:rPr>
          <w:rFonts w:ascii="Times New Roman" w:hAnsi="Times New Roman" w:cs="Times New Roman"/>
          <w:sz w:val="24"/>
          <w:szCs w:val="24"/>
          <w:shd w:val="clear" w:color="auto" w:fill="FFFFFF"/>
          <w:lang w:val="en-US"/>
        </w:rPr>
        <w:t xml:space="preserve"> </w:t>
      </w:r>
      <w:r w:rsidR="003349F6" w:rsidRPr="003F2A7B">
        <w:rPr>
          <w:rFonts w:ascii="Times New Roman" w:hAnsi="Times New Roman" w:cs="Times New Roman"/>
          <w:sz w:val="24"/>
          <w:szCs w:val="24"/>
          <w:shd w:val="clear" w:color="auto" w:fill="FFFFFF"/>
        </w:rPr>
        <w:t>frequency reuse in spot beam systems (Kymissis, 2020).</w:t>
      </w:r>
    </w:p>
    <w:p w:rsidR="003349F6" w:rsidRPr="003F2A7B" w:rsidRDefault="003349F6" w:rsidP="002A658F">
      <w:pPr>
        <w:shd w:val="clear" w:color="auto" w:fill="FFFFFF"/>
        <w:spacing w:line="360" w:lineRule="auto"/>
        <w:ind w:firstLine="720"/>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lastRenderedPageBreak/>
        <w:t>Polarization techniques provide additional dimensions for spectrum reuse and capacity enhancement. Linear polarization (horizontal and vertical) and circular polarization (left-hand and right-hand) enable frequency reuse through orthogonal polarization states, effectively doubling available capacity when polarization isolation exceeds 30 dB.</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Advanced satellite systems employ dual-polarization and quad-polarization configurations to maximize spectral efficiency, though precise antenna alignment and polarization purity requirements increase system complexity (Kumar, 2018).</w:t>
      </w:r>
    </w:p>
    <w:p w:rsidR="003349F6" w:rsidRPr="003F2A7B" w:rsidRDefault="003349F6"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p>
    <w:p w:rsidR="003349F6" w:rsidRPr="003F2A7B" w:rsidRDefault="003349F6"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r w:rsidRPr="003F2A7B">
        <w:rPr>
          <w:rFonts w:ascii="Times New Roman" w:eastAsia="Times New Roman" w:hAnsi="Times New Roman" w:cs="Times New Roman"/>
          <w:sz w:val="24"/>
          <w:szCs w:val="24"/>
          <w:lang w:val="en-US" w:eastAsia="en-GH"/>
        </w:rPr>
        <w:t>3. Satellite Zooming and High-Through Spot Beam Technology</w:t>
      </w:r>
    </w:p>
    <w:p w:rsidR="003349F6" w:rsidRPr="003F2A7B" w:rsidRDefault="003349F6"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r w:rsidRPr="003F2A7B">
        <w:rPr>
          <w:rFonts w:ascii="Times New Roman" w:eastAsia="Times New Roman" w:hAnsi="Times New Roman" w:cs="Times New Roman"/>
          <w:sz w:val="24"/>
          <w:szCs w:val="24"/>
          <w:lang w:val="en-US" w:eastAsia="en-GH"/>
        </w:rPr>
        <w:t xml:space="preserve">3.1 High-Throughput Satellite Architecture </w:t>
      </w:r>
    </w:p>
    <w:p w:rsidR="003349F6" w:rsidRPr="003F2A7B" w:rsidRDefault="003349F6"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eastAsia="Times New Roman" w:hAnsi="Times New Roman" w:cs="Times New Roman"/>
          <w:sz w:val="24"/>
          <w:szCs w:val="24"/>
          <w:lang w:val="en-US" w:eastAsia="en-GH"/>
        </w:rPr>
        <w:tab/>
      </w:r>
      <w:r w:rsidRPr="003F2A7B">
        <w:rPr>
          <w:rFonts w:ascii="Times New Roman" w:hAnsi="Times New Roman" w:cs="Times New Roman"/>
          <w:sz w:val="24"/>
          <w:szCs w:val="24"/>
          <w:shd w:val="clear" w:color="auto" w:fill="FFFFFF"/>
        </w:rPr>
        <w:t>High-Throughput Satellites (HTS) represent a revolutionary paradigm in satellite communication, achieving order-of-magnitude capacity</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improvements through spot beam technology and aggressive frequency reuse strategies. Unlike traditional broad-beam satellites that illuminate continental-scale coverage areas with uniform power distribution, HTS systems generate numerous narrowly focused spot beams targeting specific geographical regions with concentrated energy (Fenech et al., 2019). This architectural approach enables frequency spectrum reuse across non-adjacent beams, multiplying system capacity without</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requiring additional spectrum allocation.</w:t>
      </w:r>
    </w:p>
    <w:p w:rsidR="003349F6" w:rsidRPr="003F2A7B" w:rsidRDefault="003349F6"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eastAsia="Times New Roman" w:hAnsi="Times New Roman" w:cs="Times New Roman"/>
          <w:sz w:val="24"/>
          <w:szCs w:val="24"/>
          <w:lang w:val="en-US" w:eastAsia="en-GH"/>
        </w:rPr>
        <w:tab/>
      </w:r>
      <w:r w:rsidRPr="003F2A7B">
        <w:rPr>
          <w:rFonts w:ascii="Times New Roman" w:hAnsi="Times New Roman" w:cs="Times New Roman"/>
          <w:sz w:val="24"/>
          <w:szCs w:val="24"/>
          <w:shd w:val="clear" w:color="auto" w:fill="FFFFFF"/>
        </w:rPr>
        <w:t>The technical implementation of spot beam technology relies on advanced antenna systems including large deployable reflectors and direct radiating arrays. Reflector-based systems utilize multiple feed horns positioned at the focal plane of parabolic reflectors, with each feed generating a distinct spot beam through geometric optics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principles. Modern HTS satellites deploy reflector diameters exceeding 3 meters, enabling spot beam widths of 0.5-2.0 degrees corresponding to ground footprints of 50-200 kilometers diameter depending on orbital altitude (Lutz, 2020). Direct radiating arrays employ phased array antenna technology with electronic beam steering capabilities, offering flexibility in beam shaping and dynamic coverage reconfiguration at the cost of increased complexity and power consumption.</w:t>
      </w:r>
    </w:p>
    <w:p w:rsidR="003349F6" w:rsidRPr="003F2A7B" w:rsidRDefault="003349F6"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eastAsia="Times New Roman" w:hAnsi="Times New Roman" w:cs="Times New Roman"/>
          <w:sz w:val="24"/>
          <w:szCs w:val="24"/>
          <w:lang w:val="en-US" w:eastAsia="en-GH"/>
        </w:rPr>
        <w:tab/>
      </w:r>
      <w:r w:rsidRPr="003F2A7B">
        <w:rPr>
          <w:rFonts w:ascii="Times New Roman" w:hAnsi="Times New Roman" w:cs="Times New Roman"/>
          <w:sz w:val="24"/>
          <w:szCs w:val="24"/>
          <w:shd w:val="clear" w:color="auto" w:fill="FFFFFF"/>
        </w:rPr>
        <w:t>The ViaSat-3 constellation, planned for deployment in the early 2020s, exemplifies extreme HTS capabilities with designed capacities of 1 terabit per second per satellite. This performance is achieved through approximately 500 spot beams operating in Ka-band with aggressive frequency reuse patterns enabling up to 20-fold spectrum multiplication compared to traditional broad-beam architectures. Similarly, the SES-17</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 xml:space="preserve">satellite, launched in 2021, provides 200 Gbps capacity through 200 spot beams covering the Americas, Atlantic Ocean, and Caribbean regions (Sodnik et al., </w:t>
      </w:r>
      <w:r w:rsidRPr="003F2A7B">
        <w:rPr>
          <w:rFonts w:ascii="Times New Roman" w:hAnsi="Times New Roman" w:cs="Times New Roman"/>
          <w:sz w:val="24"/>
          <w:szCs w:val="24"/>
          <w:shd w:val="clear" w:color="auto" w:fill="FFFFFF"/>
        </w:rPr>
        <w:lastRenderedPageBreak/>
        <w:t>2021). These capacity levels rival terrestrial fiber optic systems for regional coverage, fundamentally altering the economic viability of satellite broadband services.</w:t>
      </w:r>
    </w:p>
    <w:p w:rsidR="00AE64C4" w:rsidRPr="003F2A7B" w:rsidRDefault="00AE64C4"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r w:rsidRPr="003F2A7B">
        <w:rPr>
          <w:rFonts w:ascii="Times New Roman" w:eastAsia="Times New Roman" w:hAnsi="Times New Roman" w:cs="Times New Roman"/>
          <w:sz w:val="24"/>
          <w:szCs w:val="24"/>
          <w:lang w:val="en-US" w:eastAsia="en-GH"/>
        </w:rPr>
        <w:tab/>
      </w:r>
      <w:r w:rsidRPr="003F2A7B">
        <w:rPr>
          <w:rFonts w:ascii="Times New Roman" w:hAnsi="Times New Roman" w:cs="Times New Roman"/>
          <w:sz w:val="24"/>
          <w:szCs w:val="24"/>
          <w:shd w:val="clear" w:color="auto" w:fill="FFFFFF"/>
        </w:rPr>
        <w:t>Digital transparent processors and regenerative payloads enable flexible</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routing of traffic between spot beams, supporting mesh network topologies where user terminals in different beams can communicate directly via satellite without ground hub intermediation. This capability reduces latency for inter-beam communications and enhances network resilience by eliminating single points of failure. The integration of onboard processing with software-defined payload architectures allows dynamic reconfiguration of beam coverage, power allocation, and</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frequency assignments in response to changing traffic patterns or emergency requirements (Piazza et al., 2020).</w:t>
      </w:r>
    </w:p>
    <w:p w:rsidR="00EF7064" w:rsidRPr="003F2A7B" w:rsidRDefault="004C2455" w:rsidP="002A658F">
      <w:pPr>
        <w:tabs>
          <w:tab w:val="left" w:pos="6031"/>
        </w:tabs>
        <w:spacing w:line="360" w:lineRule="auto"/>
        <w:rPr>
          <w:rFonts w:ascii="Times New Roman" w:hAnsi="Times New Roman" w:cs="Times New Roman"/>
          <w:noProof/>
          <w:sz w:val="24"/>
          <w:szCs w:val="24"/>
          <w:lang w:val="en-US"/>
        </w:rPr>
      </w:pPr>
      <w:r w:rsidRPr="003F2A7B">
        <w:rPr>
          <w:rFonts w:ascii="Times New Roman" w:hAnsi="Times New Roman" w:cs="Times New Roman"/>
          <w:noProof/>
          <w:sz w:val="24"/>
          <w:szCs w:val="24"/>
          <w:lang w:val="en-US"/>
        </w:rPr>
        <w:t xml:space="preserve"> </w:t>
      </w:r>
    </w:p>
    <w:p w:rsidR="004C2455" w:rsidRPr="003F2A7B" w:rsidRDefault="00B637E0" w:rsidP="002A658F">
      <w:pPr>
        <w:tabs>
          <w:tab w:val="left" w:pos="6031"/>
        </w:tabs>
        <w:spacing w:line="360" w:lineRule="auto"/>
        <w:rPr>
          <w:rFonts w:ascii="Times New Roman" w:hAnsi="Times New Roman" w:cs="Times New Roman"/>
          <w:sz w:val="24"/>
          <w:szCs w:val="24"/>
          <w:lang w:val="en-US"/>
        </w:rPr>
      </w:pPr>
      <w:r w:rsidRPr="003F2A7B">
        <w:rPr>
          <w:rFonts w:ascii="Times New Roman" w:hAnsi="Times New Roman" w:cs="Times New Roman"/>
          <w:noProof/>
          <w:sz w:val="24"/>
          <w:szCs w:val="24"/>
          <w:lang w:val="en-US"/>
        </w:rPr>
        <w:drawing>
          <wp:anchor distT="0" distB="0" distL="114300" distR="114300" simplePos="0" relativeHeight="251662336" behindDoc="0" locked="0" layoutInCell="1" allowOverlap="1">
            <wp:simplePos x="0" y="0"/>
            <wp:positionH relativeFrom="column">
              <wp:posOffset>162560</wp:posOffset>
            </wp:positionH>
            <wp:positionV relativeFrom="paragraph">
              <wp:posOffset>184785</wp:posOffset>
            </wp:positionV>
            <wp:extent cx="3071495" cy="1841500"/>
            <wp:effectExtent l="0" t="0" r="0" b="6350"/>
            <wp:wrapNone/>
            <wp:docPr id="6" name="Picture 6" descr="C:\Users\Henry Asiedu Amoah\AppData\Local\Microsoft\Windows\INetCache\Content.MSO\28347C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enry Asiedu Amoah\AppData\Local\Microsoft\Windows\INetCache\Content.MSO\28347C36.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1495"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157B" w:rsidRPr="003F2A7B">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column">
              <wp:posOffset>3963366</wp:posOffset>
            </wp:positionH>
            <wp:positionV relativeFrom="paragraph">
              <wp:posOffset>117585</wp:posOffset>
            </wp:positionV>
            <wp:extent cx="2491105" cy="1981200"/>
            <wp:effectExtent l="0" t="0" r="4445" b="0"/>
            <wp:wrapNone/>
            <wp:docPr id="7" name="Picture 7" descr="Spot + Flood Combo Beam Gha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ot + Flood Combo Beam Ghan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1105"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C2455" w:rsidRPr="003F2A7B" w:rsidRDefault="004C2455" w:rsidP="002A658F">
      <w:pPr>
        <w:tabs>
          <w:tab w:val="left" w:pos="6031"/>
        </w:tabs>
        <w:spacing w:line="360" w:lineRule="auto"/>
        <w:rPr>
          <w:rFonts w:ascii="Times New Roman" w:hAnsi="Times New Roman" w:cs="Times New Roman"/>
          <w:sz w:val="24"/>
          <w:szCs w:val="24"/>
          <w:lang w:val="en-US"/>
        </w:rPr>
      </w:pPr>
    </w:p>
    <w:p w:rsidR="004C2455" w:rsidRPr="003F2A7B" w:rsidRDefault="004C2455" w:rsidP="002A658F">
      <w:pPr>
        <w:tabs>
          <w:tab w:val="left" w:pos="6031"/>
        </w:tabs>
        <w:spacing w:line="360" w:lineRule="auto"/>
        <w:rPr>
          <w:rFonts w:ascii="Times New Roman" w:hAnsi="Times New Roman" w:cs="Times New Roman"/>
          <w:sz w:val="24"/>
          <w:szCs w:val="24"/>
          <w:lang w:val="en-US"/>
        </w:rPr>
      </w:pPr>
    </w:p>
    <w:p w:rsidR="004C2455" w:rsidRPr="003F2A7B" w:rsidRDefault="004C2455" w:rsidP="002A658F">
      <w:pPr>
        <w:tabs>
          <w:tab w:val="left" w:pos="6031"/>
        </w:tabs>
        <w:spacing w:line="360" w:lineRule="auto"/>
        <w:rPr>
          <w:rFonts w:ascii="Times New Roman" w:hAnsi="Times New Roman" w:cs="Times New Roman"/>
          <w:sz w:val="24"/>
          <w:szCs w:val="24"/>
          <w:lang w:val="en-US"/>
        </w:rPr>
      </w:pPr>
    </w:p>
    <w:p w:rsidR="004C2455" w:rsidRPr="003F2A7B" w:rsidRDefault="004C2455" w:rsidP="002A658F">
      <w:pPr>
        <w:tabs>
          <w:tab w:val="left" w:pos="6031"/>
        </w:tabs>
        <w:spacing w:line="360" w:lineRule="auto"/>
        <w:rPr>
          <w:rFonts w:ascii="Times New Roman" w:hAnsi="Times New Roman" w:cs="Times New Roman"/>
          <w:sz w:val="24"/>
          <w:szCs w:val="24"/>
          <w:lang w:val="en-US"/>
        </w:rPr>
      </w:pPr>
    </w:p>
    <w:p w:rsidR="004C2455" w:rsidRPr="003F2A7B" w:rsidRDefault="004C2455" w:rsidP="002A658F">
      <w:pPr>
        <w:tabs>
          <w:tab w:val="left" w:pos="6031"/>
        </w:tabs>
        <w:spacing w:line="360" w:lineRule="auto"/>
        <w:rPr>
          <w:rFonts w:ascii="Times New Roman" w:hAnsi="Times New Roman" w:cs="Times New Roman"/>
          <w:sz w:val="24"/>
          <w:szCs w:val="24"/>
          <w:lang w:val="en-US"/>
        </w:rPr>
      </w:pPr>
    </w:p>
    <w:p w:rsidR="004C2455" w:rsidRPr="003F2A7B" w:rsidRDefault="00C92438" w:rsidP="002A658F">
      <w:pPr>
        <w:tabs>
          <w:tab w:val="left" w:pos="6031"/>
        </w:tabs>
        <w:spacing w:line="360" w:lineRule="auto"/>
        <w:rPr>
          <w:rFonts w:ascii="Times New Roman" w:hAnsi="Times New Roman" w:cs="Times New Roman"/>
          <w:sz w:val="24"/>
          <w:szCs w:val="24"/>
          <w:lang w:val="en-US"/>
        </w:rPr>
      </w:pPr>
      <w:r w:rsidRPr="003F2A7B">
        <w:rPr>
          <w:rFonts w:ascii="Times New Roman" w:hAnsi="Times New Roman" w:cs="Times New Roman"/>
          <w:noProof/>
          <w:sz w:val="24"/>
          <w:szCs w:val="24"/>
          <w:lang w:val="en-US"/>
        </w:rPr>
        <mc:AlternateContent>
          <mc:Choice Requires="wps">
            <w:drawing>
              <wp:anchor distT="45720" distB="45720" distL="114300" distR="114300" simplePos="0" relativeHeight="251693056" behindDoc="0" locked="0" layoutInCell="1" allowOverlap="1">
                <wp:simplePos x="0" y="0"/>
                <wp:positionH relativeFrom="column">
                  <wp:posOffset>2948553</wp:posOffset>
                </wp:positionH>
                <wp:positionV relativeFrom="paragraph">
                  <wp:posOffset>33020</wp:posOffset>
                </wp:positionV>
                <wp:extent cx="2360930" cy="1404620"/>
                <wp:effectExtent l="0" t="0" r="9525"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92438" w:rsidRPr="00C92438" w:rsidRDefault="00C92438">
                            <w:pPr>
                              <w:rPr>
                                <w:lang w:val="en-US"/>
                              </w:rPr>
                            </w:pPr>
                            <w:r>
                              <w:rPr>
                                <w:lang w:val="en-US"/>
                              </w:rPr>
                              <w:t>Figure 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margin-left:232.15pt;margin-top:2.6pt;width:185.9pt;height:110.6pt;z-index:2516930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" stroked="f">
                <v:textbox style="mso-fit-shape-to-text:t">
                  <w:txbxContent>
                    <w:p w:rsidR="00C92438" w:rsidRPr="00C92438" w:rsidRDefault="00C92438">
                      <w:pPr>
                        <w:rPr>
                          <w:lang w:val="en-US"/>
                        </w:rPr>
                      </w:pPr>
                      <w:r>
                        <w:rPr>
                          <w:lang w:val="en-US"/>
                        </w:rPr>
                        <w:t>Figure 3</w:t>
                      </w:r>
                    </w:p>
                  </w:txbxContent>
                </v:textbox>
              </v:shape>
            </w:pict>
          </mc:Fallback>
        </mc:AlternateContent>
      </w:r>
    </w:p>
    <w:p w:rsidR="004C2455" w:rsidRPr="003F2A7B" w:rsidRDefault="004C2455" w:rsidP="002A658F">
      <w:pPr>
        <w:tabs>
          <w:tab w:val="left" w:pos="6031"/>
        </w:tabs>
        <w:spacing w:line="360" w:lineRule="auto"/>
        <w:rPr>
          <w:rFonts w:ascii="Times New Roman" w:hAnsi="Times New Roman" w:cs="Times New Roman"/>
          <w:sz w:val="24"/>
          <w:szCs w:val="24"/>
          <w:lang w:val="en-US"/>
        </w:rPr>
      </w:pPr>
    </w:p>
    <w:p w:rsidR="00047066" w:rsidRPr="003F2A7B" w:rsidRDefault="004C2455" w:rsidP="002A658F">
      <w:pPr>
        <w:tabs>
          <w:tab w:val="left" w:pos="6031"/>
        </w:tabs>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3.2 Frequency Reuse and Beamforming Techniques</w:t>
      </w:r>
    </w:p>
    <w:p w:rsidR="004C2455" w:rsidRPr="003F2A7B" w:rsidRDefault="00047066" w:rsidP="002A658F">
      <w:pPr>
        <w:tabs>
          <w:tab w:val="left" w:pos="6031"/>
        </w:tabs>
        <w:spacing w:line="360" w:lineRule="auto"/>
        <w:rPr>
          <w:rFonts w:ascii="Times New Roman" w:hAnsi="Times New Roman" w:cs="Times New Roman"/>
          <w:sz w:val="24"/>
          <w:szCs w:val="24"/>
          <w:lang w:val="en-US"/>
        </w:rPr>
      </w:pPr>
      <w:r w:rsidRPr="003F2A7B">
        <w:rPr>
          <w:rFonts w:ascii="Times New Roman" w:hAnsi="Times New Roman" w:cs="Times New Roman"/>
          <w:sz w:val="24"/>
          <w:szCs w:val="24"/>
          <w:shd w:val="clear" w:color="auto" w:fill="FFFFFF"/>
          <w:lang w:val="en-US"/>
        </w:rPr>
        <w:t xml:space="preserve">        </w:t>
      </w:r>
      <w:r w:rsidR="004C2455" w:rsidRPr="003F2A7B">
        <w:rPr>
          <w:rFonts w:ascii="Times New Roman" w:hAnsi="Times New Roman" w:cs="Times New Roman"/>
          <w:sz w:val="24"/>
          <w:szCs w:val="24"/>
          <w:shd w:val="clear" w:color="auto" w:fill="FFFFFF"/>
        </w:rPr>
        <w:t>Frequency reuse constitutes the fundamental mechanism enabling HTS capacity multiplication, with sophisticated planning algorithms optimizing spectrum allocation across spot beam constellations. The four-color reuse pattern represents a standard approach, dividing available</w:t>
      </w:r>
      <w:r w:rsidR="004C2455" w:rsidRPr="003F2A7B">
        <w:rPr>
          <w:rFonts w:ascii="Times New Roman" w:hAnsi="Times New Roman" w:cs="Times New Roman"/>
          <w:sz w:val="24"/>
          <w:szCs w:val="24"/>
          <w:shd w:val="clear" w:color="auto" w:fill="FFFFFF"/>
          <w:lang w:val="en-US"/>
        </w:rPr>
        <w:t xml:space="preserve"> </w:t>
      </w:r>
      <w:r w:rsidR="004C2455" w:rsidRPr="003F2A7B">
        <w:rPr>
          <w:rFonts w:ascii="Times New Roman" w:hAnsi="Times New Roman" w:cs="Times New Roman"/>
          <w:sz w:val="24"/>
          <w:szCs w:val="24"/>
          <w:shd w:val="clear" w:color="auto" w:fill="FFFFFF"/>
        </w:rPr>
        <w:t xml:space="preserve">spectrum into four sub-bands assigned to beams such that adjacent beams utilize different frequencies while non-adjacent beams can reuse the same spectrum. Advanced systems implement more aggressive reuse patterns with 7, 9, or even 20 </w:t>
      </w:r>
      <w:r w:rsidR="0068737C" w:rsidRPr="003F2A7B">
        <w:rPr>
          <w:rFonts w:ascii="Times New Roman" w:hAnsi="Times New Roman" w:cs="Times New Roman"/>
          <w:sz w:val="24"/>
          <w:szCs w:val="24"/>
          <w:shd w:val="clear" w:color="auto" w:fill="FFFFFF"/>
        </w:rPr>
        <w:t>colours</w:t>
      </w:r>
      <w:r w:rsidR="004C2455" w:rsidRPr="003F2A7B">
        <w:rPr>
          <w:rFonts w:ascii="Times New Roman" w:hAnsi="Times New Roman" w:cs="Times New Roman"/>
          <w:sz w:val="24"/>
          <w:szCs w:val="24"/>
          <w:shd w:val="clear" w:color="auto" w:fill="FFFFFF"/>
        </w:rPr>
        <w:t>, though increased reuse factors require tighter beam spacing and improved interference mitigation techniques (Arapoglou et al., 2018).</w:t>
      </w:r>
    </w:p>
    <w:p w:rsidR="004C2455" w:rsidRPr="003F2A7B" w:rsidRDefault="004C2455"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Co-channel interference management presents critical challenges in high-reuse HTS systems, with adjacent beam interference potentially degrading link performance if not properly controlled. Beam isolation through spatial separation provides primary interference protection, with typical adjacent beam crossover levels of -3 to -6 dB</w:t>
      </w:r>
      <w:r w:rsidRPr="003F2A7B">
        <w:rPr>
          <w:rFonts w:ascii="Times New Roman" w:hAnsi="Times New Roman" w:cs="Times New Roman"/>
          <w:sz w:val="24"/>
          <w:szCs w:val="24"/>
          <w:shd w:val="clear" w:color="auto" w:fill="FFFFFF"/>
          <w:lang w:val="en-US"/>
        </w:rPr>
        <w:t xml:space="preserve"> </w:t>
      </w:r>
      <w:r w:rsidRPr="003F2A7B">
        <w:rPr>
          <w:rFonts w:ascii="Times New Roman" w:eastAsia="Times New Roman" w:hAnsi="Times New Roman" w:cs="Times New Roman"/>
          <w:sz w:val="24"/>
          <w:szCs w:val="24"/>
          <w:lang w:eastAsia="en-GH"/>
        </w:rPr>
        <w:t xml:space="preserve">ensuring sufficient discrimination. Additional </w:t>
      </w:r>
      <w:r w:rsidRPr="003F2A7B">
        <w:rPr>
          <w:rFonts w:ascii="Times New Roman" w:eastAsia="Times New Roman" w:hAnsi="Times New Roman" w:cs="Times New Roman"/>
          <w:sz w:val="24"/>
          <w:szCs w:val="24"/>
          <w:lang w:eastAsia="en-GH"/>
        </w:rPr>
        <w:lastRenderedPageBreak/>
        <w:t>interference suppression techniques include polarization diversity, where adjacent beams utilize orthogonal polarizations to increase isolation by 20-30 dB, and adaptive power control adjusting transmission levels based on interference conditions (Cioni et al., 2019).</w:t>
      </w:r>
    </w:p>
    <w:p w:rsidR="004C2455" w:rsidRPr="003F2A7B" w:rsidRDefault="004C2455" w:rsidP="002A658F">
      <w:pPr>
        <w:tabs>
          <w:tab w:val="left" w:pos="6031"/>
        </w:tabs>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Multi-User Multiple-Input Multiple-Output (MU-MIMO) techniques, borrowed from terrestrial cellular systems, are being adapted for satellite spot beam applications to further enhance spectral efficiency. By exploiting spatial diversity across closely spaced user terminals, MU-MIMO enables simultaneous data transmission to multiple users within the same frequency channel, effectively multiplying</w:t>
      </w:r>
      <w:r w:rsidR="00047066" w:rsidRPr="003F2A7B">
        <w:rPr>
          <w:rFonts w:ascii="Times New Roman" w:hAnsi="Times New Roman" w:cs="Times New Roman"/>
          <w:sz w:val="24"/>
          <w:szCs w:val="24"/>
          <w:shd w:val="clear" w:color="auto" w:fill="FFFFFF"/>
          <w:lang w:val="en-US"/>
        </w:rPr>
        <w:t xml:space="preserve"> </w:t>
      </w:r>
      <w:r w:rsidR="00047066" w:rsidRPr="003F2A7B">
        <w:rPr>
          <w:rFonts w:ascii="Times New Roman" w:hAnsi="Times New Roman" w:cs="Times New Roman"/>
          <w:sz w:val="24"/>
          <w:szCs w:val="24"/>
          <w:shd w:val="clear" w:color="auto" w:fill="FFFFFF"/>
        </w:rPr>
        <w:t>capacity beyond traditional frequency division approaches. The implementation of MU-MIMO in satellite contexts requires precise channel state information and advanced precoding algorithms to manage inter-user interference within the beam coverage area (Joroughi et al., 2021).</w:t>
      </w:r>
    </w:p>
    <w:p w:rsidR="00047066" w:rsidRPr="003F2A7B" w:rsidRDefault="00047066" w:rsidP="002A658F">
      <w:pPr>
        <w:tabs>
          <w:tab w:val="left" w:pos="6031"/>
        </w:tabs>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Beam hopping represents an emerging technique for</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dynamic capacity allocation in HTS systems, where satellite resources are time-shared across multiple coverage areas according to traffic demand patterns. Rather than illuminating all beams simultaneously, beam hopping systems concentrate available power and bandwidth into subsets of beams for short time intervals, sequentially serving high-demand areas with enhanced capacity while maintaining coverage of lower-demand regions. This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approach enables significant power savings and improved flexibility in matching capacity distribution to actual traffic requirements, particularly for satellites serving regions with pronounced diurnal traffic variations (Paradiso et al., 2020).</w:t>
      </w:r>
    </w:p>
    <w:p w:rsidR="00047066" w:rsidRPr="003F2A7B" w:rsidRDefault="00047066" w:rsidP="002A658F">
      <w:pPr>
        <w:tabs>
          <w:tab w:val="left" w:pos="6031"/>
        </w:tabs>
        <w:spacing w:line="360" w:lineRule="auto"/>
        <w:rPr>
          <w:rFonts w:ascii="Times New Roman" w:hAnsi="Times New Roman" w:cs="Times New Roman"/>
          <w:sz w:val="24"/>
          <w:szCs w:val="24"/>
          <w:lang w:val="en-US"/>
        </w:rPr>
      </w:pPr>
    </w:p>
    <w:p w:rsidR="00047066" w:rsidRPr="003F2A7B" w:rsidRDefault="00047066" w:rsidP="002A658F">
      <w:pPr>
        <w:tabs>
          <w:tab w:val="left" w:pos="6031"/>
        </w:tabs>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3.3. High-Resolution Data Acquisition Applications</w:t>
      </w:r>
    </w:p>
    <w:p w:rsidR="00047066" w:rsidRPr="003F2A7B" w:rsidRDefault="00047066"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t>The concentrated power and precise targeting capabilities of spot beam technology enable high-resolution data acquisition applications extending beyond traditional communication services. Earth observation satellites leverage similar beamforming principles for synthetic aperture radar (SAR) imaging, achieving spatial resolutions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of less than one meter through advanced signal processing and beam steering techniques. The integration of communication and remote sensing payloads on unified platforms enables real-time data downlink capabilities, addressing the "data bottleneck" that has historically limited earth observation mission effectiveness (Moreira et al., 2021).</w:t>
      </w:r>
    </w:p>
    <w:p w:rsidR="00047066" w:rsidRPr="003F2A7B" w:rsidRDefault="00047066"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Pr="003F2A7B">
        <w:rPr>
          <w:rFonts w:ascii="Times New Roman" w:hAnsi="Times New Roman" w:cs="Times New Roman"/>
          <w:sz w:val="24"/>
          <w:szCs w:val="24"/>
          <w:shd w:val="clear" w:color="auto" w:fill="FFFFFF"/>
        </w:rPr>
        <w:t>Precision agriculture represents a significant application domain for high-resolution satellite data, with spot beam-enabled connectivity supporting autonomous farming equipment, sensor networks, and real-time decision support systems. The combination of high-</w:t>
      </w:r>
      <w:r w:rsidR="00C97F51" w:rsidRPr="003F2A7B">
        <w:rPr>
          <w:rFonts w:ascii="Times New Roman" w:hAnsi="Times New Roman" w:cs="Times New Roman"/>
          <w:sz w:val="24"/>
          <w:szCs w:val="24"/>
          <w:shd w:val="clear" w:color="auto" w:fill="FFFFFF"/>
        </w:rPr>
        <w:t xml:space="preserve">throughput </w:t>
      </w:r>
      <w:r w:rsidR="00C97F51" w:rsidRPr="003F2A7B">
        <w:rPr>
          <w:rFonts w:ascii="Times New Roman" w:hAnsi="Times New Roman" w:cs="Times New Roman"/>
          <w:sz w:val="24"/>
          <w:szCs w:val="24"/>
          <w:shd w:val="clear" w:color="auto" w:fill="FFFFFF"/>
          <w:lang w:val="en-US"/>
        </w:rPr>
        <w:t>communication</w:t>
      </w:r>
      <w:r w:rsidRPr="003F2A7B">
        <w:rPr>
          <w:rFonts w:ascii="Times New Roman" w:hAnsi="Times New Roman" w:cs="Times New Roman"/>
          <w:sz w:val="24"/>
          <w:szCs w:val="24"/>
          <w:shd w:val="clear" w:color="auto" w:fill="FFFFFF"/>
        </w:rPr>
        <w:t xml:space="preserve"> with sub-meter resolution imagery enables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 xml:space="preserve">variable rate application of fertilizers, pesticides, and irrigation, optimizing resource utilization while minimizing environmental impact. </w:t>
      </w:r>
      <w:r w:rsidR="00C97F51"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lastRenderedPageBreak/>
        <w:t>Satellite systems such as those operated by Planet Labs and Maxar Technologies provide daily coverage of agricultural regions, with data transmission facilitated by high-capacity X-band and Ka-band downlinks (Navas et al., 2020).</w:t>
      </w:r>
    </w:p>
    <w:p w:rsidR="00047066" w:rsidRPr="003F2A7B" w:rsidRDefault="00047066"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Pr="003F2A7B">
        <w:rPr>
          <w:rFonts w:ascii="Times New Roman" w:hAnsi="Times New Roman" w:cs="Times New Roman"/>
          <w:sz w:val="24"/>
          <w:szCs w:val="24"/>
          <w:shd w:val="clear" w:color="auto" w:fill="FFFFFF"/>
        </w:rPr>
        <w:t>Disaster monitoring and emergency response applications benefit substantially from "Satellite Zooming" capabilities, where communication resources can be rapidly concentrated on affected regions during crisis events. Following natural disasters such as hurricanes, earthquakes, or tsunamis, terrestrial communication infrastructure is frequently compromised, making satellite connectivity</w:t>
      </w:r>
      <w:r w:rsidR="002A7E87" w:rsidRPr="003F2A7B">
        <w:rPr>
          <w:rFonts w:ascii="Times New Roman" w:hAnsi="Times New Roman" w:cs="Times New Roman"/>
          <w:sz w:val="24"/>
          <w:szCs w:val="24"/>
          <w:shd w:val="clear" w:color="auto" w:fill="FFFFFF"/>
          <w:lang w:val="en-US"/>
        </w:rPr>
        <w:t xml:space="preserve"> </w:t>
      </w:r>
      <w:r w:rsidR="002A7E87" w:rsidRPr="003F2A7B">
        <w:rPr>
          <w:rFonts w:ascii="Times New Roman" w:hAnsi="Times New Roman" w:cs="Times New Roman"/>
          <w:sz w:val="24"/>
          <w:szCs w:val="24"/>
          <w:shd w:val="clear" w:color="auto" w:fill="FFFFFF"/>
        </w:rPr>
        <w:t>essential for coordination of relief efforts. The ability to dynamically reconfigure spot beam coverage and allocate additional capacity to disaster zones enables effective emergency communications when they are most critically needed (Fossa et al., 2021).</w:t>
      </w:r>
    </w:p>
    <w:p w:rsidR="002A7E87" w:rsidRPr="003F2A7B" w:rsidRDefault="002A7E87"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Pr="003F2A7B">
        <w:rPr>
          <w:rFonts w:ascii="Times New Roman" w:hAnsi="Times New Roman" w:cs="Times New Roman"/>
          <w:sz w:val="24"/>
          <w:szCs w:val="24"/>
          <w:shd w:val="clear" w:color="auto" w:fill="FFFFFF"/>
        </w:rPr>
        <w:t xml:space="preserve">Military and </w:t>
      </w:r>
      <w:r w:rsidR="008F7746" w:rsidRPr="003F2A7B">
        <w:rPr>
          <w:rFonts w:ascii="Times New Roman" w:hAnsi="Times New Roman" w:cs="Times New Roman"/>
          <w:sz w:val="24"/>
          <w:szCs w:val="24"/>
          <w:shd w:val="clear" w:color="auto" w:fill="FFFFFF"/>
        </w:rPr>
        <w:t>defence</w:t>
      </w:r>
      <w:r w:rsidRPr="003F2A7B">
        <w:rPr>
          <w:rFonts w:ascii="Times New Roman" w:hAnsi="Times New Roman" w:cs="Times New Roman"/>
          <w:sz w:val="24"/>
          <w:szCs w:val="24"/>
          <w:shd w:val="clear" w:color="auto" w:fill="FFFFFF"/>
        </w:rPr>
        <w:t xml:space="preserve"> applications exploit spot beam</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technology for secure, high-capacity communications with anti-jam and low-probability-of-intercept characteristics. Narrow spot beams reduce the geographical area where signals can be intercepted, inherently enhancing communication security compared to broad-beam alternatives. Additionally, the high Effective Isotropic Radiated Power (EIRP) concentrations achievable with spot</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beams enable communication using smaller, more mobile terminals suitable for tactical deployments. Advanced military satellites incorporate nulling capabilities to suppress interference sources, maintaining connectivity in contested electromagnetic environments (Wertz &amp; Everett, 2019).</w:t>
      </w:r>
    </w:p>
    <w:p w:rsidR="00D62921" w:rsidRPr="003F2A7B" w:rsidRDefault="00D62921" w:rsidP="002A658F">
      <w:pPr>
        <w:spacing w:line="360" w:lineRule="auto"/>
        <w:rPr>
          <w:rFonts w:ascii="Times New Roman" w:hAnsi="Times New Roman" w:cs="Times New Roman"/>
          <w:sz w:val="24"/>
          <w:szCs w:val="24"/>
          <w:lang w:val="en-US"/>
        </w:rPr>
      </w:pPr>
    </w:p>
    <w:p w:rsidR="00D62921" w:rsidRPr="003F2A7B" w:rsidRDefault="00D62921" w:rsidP="002A658F">
      <w:pPr>
        <w:spacing w:line="360" w:lineRule="auto"/>
        <w:rPr>
          <w:rFonts w:ascii="Times New Roman" w:hAnsi="Times New Roman" w:cs="Times New Roman"/>
          <w:sz w:val="24"/>
          <w:szCs w:val="24"/>
          <w:lang w:val="en-US"/>
        </w:rPr>
      </w:pPr>
    </w:p>
    <w:p w:rsidR="0098756B" w:rsidRPr="003F2A7B" w:rsidRDefault="00EC1A19" w:rsidP="002A658F">
      <w:pPr>
        <w:spacing w:line="360" w:lineRule="auto"/>
        <w:rPr>
          <w:rFonts w:ascii="Times New Roman" w:hAnsi="Times New Roman" w:cs="Times New Roman"/>
          <w:sz w:val="24"/>
          <w:szCs w:val="24"/>
          <w:lang w:val="en-US"/>
        </w:rPr>
      </w:pPr>
      <w:r w:rsidRPr="003F2A7B">
        <w:rPr>
          <w:rFonts w:ascii="Times New Roman" w:hAnsi="Times New Roman" w:cs="Times New Roman"/>
          <w:noProof/>
          <w:sz w:val="24"/>
          <w:szCs w:val="24"/>
          <w:lang w:val="en-US"/>
        </w:rPr>
        <w:drawing>
          <wp:anchor distT="0" distB="0" distL="114300" distR="114300" simplePos="0" relativeHeight="251664384" behindDoc="0" locked="0" layoutInCell="1" allowOverlap="1">
            <wp:simplePos x="0" y="0"/>
            <wp:positionH relativeFrom="column">
              <wp:posOffset>3479</wp:posOffset>
            </wp:positionH>
            <wp:positionV relativeFrom="paragraph">
              <wp:posOffset>177938</wp:posOffset>
            </wp:positionV>
            <wp:extent cx="2703443" cy="1899285"/>
            <wp:effectExtent l="0" t="0" r="1905" b="5715"/>
            <wp:wrapNone/>
            <wp:docPr id="8" name="Picture 8" descr="C:\Users\Henry Asiedu Amoah\AppData\Local\Microsoft\Windows\INetCache\Content.MSO\E01E2A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enry Asiedu Amoah\AppData\Local\Microsoft\Windows\INetCache\Content.MSO\E01E2A25.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5326" cy="19006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7746" w:rsidRPr="003F2A7B">
        <w:rPr>
          <w:rFonts w:ascii="Times New Roman" w:hAnsi="Times New Roman" w:cs="Times New Roman"/>
          <w:noProof/>
          <w:sz w:val="24"/>
          <w:szCs w:val="24"/>
          <w:lang w:val="en-US"/>
        </w:rPr>
        <w:drawing>
          <wp:anchor distT="0" distB="0" distL="114300" distR="114300" simplePos="0" relativeHeight="251665408" behindDoc="0" locked="0" layoutInCell="1" allowOverlap="1">
            <wp:simplePos x="0" y="0"/>
            <wp:positionH relativeFrom="column">
              <wp:posOffset>2945462</wp:posOffset>
            </wp:positionH>
            <wp:positionV relativeFrom="paragraph">
              <wp:posOffset>177938</wp:posOffset>
            </wp:positionV>
            <wp:extent cx="3285524" cy="1898650"/>
            <wp:effectExtent l="0" t="0" r="0" b="6350"/>
            <wp:wrapNone/>
            <wp:docPr id="9" name="Picture 9" descr="C:\Users\Henry Asiedu Amoah\AppData\Local\Microsoft\Windows\INetCache\Content.MSO\564084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enry Asiedu Amoah\AppData\Local\Microsoft\Windows\INetCache\Content.MSO\5640847B.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8214" cy="19002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8756B" w:rsidRPr="003F2A7B" w:rsidRDefault="0098756B" w:rsidP="002A658F">
      <w:pPr>
        <w:spacing w:line="360" w:lineRule="auto"/>
        <w:rPr>
          <w:rFonts w:ascii="Times New Roman" w:hAnsi="Times New Roman" w:cs="Times New Roman"/>
          <w:sz w:val="24"/>
          <w:szCs w:val="24"/>
          <w:lang w:val="en-US"/>
        </w:rPr>
      </w:pPr>
    </w:p>
    <w:p w:rsidR="0098756B" w:rsidRPr="003F2A7B" w:rsidRDefault="0098756B" w:rsidP="002A658F">
      <w:pPr>
        <w:spacing w:line="360" w:lineRule="auto"/>
        <w:rPr>
          <w:rFonts w:ascii="Times New Roman" w:hAnsi="Times New Roman" w:cs="Times New Roman"/>
          <w:sz w:val="24"/>
          <w:szCs w:val="24"/>
          <w:lang w:val="en-US"/>
        </w:rPr>
      </w:pPr>
    </w:p>
    <w:p w:rsidR="0098756B" w:rsidRPr="003F2A7B" w:rsidRDefault="0098756B" w:rsidP="002A658F">
      <w:pPr>
        <w:spacing w:line="360" w:lineRule="auto"/>
        <w:rPr>
          <w:rFonts w:ascii="Times New Roman" w:hAnsi="Times New Roman" w:cs="Times New Roman"/>
          <w:sz w:val="24"/>
          <w:szCs w:val="24"/>
          <w:lang w:val="en-US"/>
        </w:rPr>
      </w:pPr>
    </w:p>
    <w:p w:rsidR="0098756B" w:rsidRPr="003F2A7B" w:rsidRDefault="0098756B" w:rsidP="002A658F">
      <w:pPr>
        <w:spacing w:line="360" w:lineRule="auto"/>
        <w:rPr>
          <w:rFonts w:ascii="Times New Roman" w:hAnsi="Times New Roman" w:cs="Times New Roman"/>
          <w:sz w:val="24"/>
          <w:szCs w:val="24"/>
          <w:lang w:val="en-US"/>
        </w:rPr>
      </w:pPr>
    </w:p>
    <w:p w:rsidR="0098756B" w:rsidRPr="003F2A7B" w:rsidRDefault="0098756B" w:rsidP="002A658F">
      <w:pPr>
        <w:spacing w:line="360" w:lineRule="auto"/>
        <w:rPr>
          <w:rFonts w:ascii="Times New Roman" w:hAnsi="Times New Roman" w:cs="Times New Roman"/>
          <w:sz w:val="24"/>
          <w:szCs w:val="24"/>
          <w:lang w:val="en-US"/>
        </w:rPr>
      </w:pPr>
    </w:p>
    <w:p w:rsidR="0098756B" w:rsidRPr="003F2A7B" w:rsidRDefault="00F77FFE" w:rsidP="002A658F">
      <w:pPr>
        <w:spacing w:line="360" w:lineRule="auto"/>
        <w:rPr>
          <w:rFonts w:ascii="Times New Roman" w:hAnsi="Times New Roman" w:cs="Times New Roman"/>
          <w:sz w:val="24"/>
          <w:szCs w:val="24"/>
          <w:lang w:val="en-US"/>
        </w:rPr>
      </w:pPr>
      <w:r w:rsidRPr="003F2A7B">
        <w:rPr>
          <w:rFonts w:ascii="Times New Roman" w:hAnsi="Times New Roman" w:cs="Times New Roman"/>
          <w:noProof/>
          <w:sz w:val="24"/>
          <w:szCs w:val="24"/>
          <w:lang w:val="en-US"/>
        </w:rPr>
        <mc:AlternateContent>
          <mc:Choice Requires="wps">
            <w:drawing>
              <wp:anchor distT="45720" distB="45720" distL="114300" distR="114300" simplePos="0" relativeHeight="251695104" behindDoc="0" locked="0" layoutInCell="1" allowOverlap="1">
                <wp:simplePos x="0" y="0"/>
                <wp:positionH relativeFrom="column">
                  <wp:posOffset>2527411</wp:posOffset>
                </wp:positionH>
                <wp:positionV relativeFrom="paragraph">
                  <wp:posOffset>278351</wp:posOffset>
                </wp:positionV>
                <wp:extent cx="2360930" cy="1404620"/>
                <wp:effectExtent l="0" t="0" r="9525"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92438" w:rsidRPr="00F77FFE" w:rsidRDefault="00F77FFE">
                            <w:pPr>
                              <w:rPr>
                                <w:lang w:val="en-US"/>
                              </w:rPr>
                            </w:pPr>
                            <w:r>
                              <w:rPr>
                                <w:lang w:val="en-US"/>
                              </w:rPr>
                              <w:t>Figure 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9" type="#_x0000_t202" style="position:absolute;margin-left:199pt;margin-top:21.9pt;width:185.9pt;height:110.6pt;z-index:2516951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" stroked="f">
                <v:textbox style="mso-fit-shape-to-text:t">
                  <w:txbxContent>
                    <w:p w:rsidR="00C92438" w:rsidRPr="00F77FFE" w:rsidRDefault="00F77FFE">
                      <w:pPr>
                        <w:rPr>
                          <w:lang w:val="en-US"/>
                        </w:rPr>
                      </w:pPr>
                      <w:r>
                        <w:rPr>
                          <w:lang w:val="en-US"/>
                        </w:rPr>
                        <w:t>Figure 4</w:t>
                      </w:r>
                    </w:p>
                  </w:txbxContent>
                </v:textbox>
              </v:shape>
            </w:pict>
          </mc:Fallback>
        </mc:AlternateContent>
      </w:r>
    </w:p>
    <w:p w:rsidR="0098756B" w:rsidRPr="003F2A7B" w:rsidRDefault="0098756B" w:rsidP="002A658F">
      <w:pPr>
        <w:spacing w:line="360" w:lineRule="auto"/>
        <w:rPr>
          <w:rFonts w:ascii="Times New Roman" w:hAnsi="Times New Roman" w:cs="Times New Roman"/>
          <w:sz w:val="24"/>
          <w:szCs w:val="24"/>
          <w:lang w:val="en-US"/>
        </w:rPr>
      </w:pPr>
    </w:p>
    <w:p w:rsidR="0098756B" w:rsidRPr="003F2A7B" w:rsidRDefault="0098756B" w:rsidP="002A658F">
      <w:pPr>
        <w:spacing w:line="360" w:lineRule="auto"/>
        <w:rPr>
          <w:rFonts w:ascii="Times New Roman" w:hAnsi="Times New Roman" w:cs="Times New Roman"/>
          <w:sz w:val="24"/>
          <w:szCs w:val="24"/>
          <w:lang w:val="en-US"/>
        </w:rPr>
      </w:pPr>
    </w:p>
    <w:p w:rsidR="004A157B" w:rsidRPr="003F2A7B" w:rsidRDefault="004A157B" w:rsidP="002A658F">
      <w:pPr>
        <w:spacing w:line="360" w:lineRule="auto"/>
        <w:rPr>
          <w:rFonts w:ascii="Times New Roman" w:hAnsi="Times New Roman" w:cs="Times New Roman"/>
          <w:sz w:val="24"/>
          <w:szCs w:val="24"/>
          <w:lang w:val="en-US"/>
        </w:rPr>
      </w:pPr>
    </w:p>
    <w:p w:rsidR="00E877A2" w:rsidRPr="003F2A7B" w:rsidRDefault="00E877A2"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lastRenderedPageBreak/>
        <w:t>4. Comparative Analysis: Satellite vs Terrestrial Data Communication</w:t>
      </w:r>
    </w:p>
    <w:p w:rsidR="00047066" w:rsidRPr="003F2A7B" w:rsidRDefault="00E877A2"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 xml:space="preserve">4.1 Coverage and Accessibility Advantages </w:t>
      </w:r>
    </w:p>
    <w:p w:rsidR="00E877A2" w:rsidRPr="003F2A7B" w:rsidRDefault="00E877A2"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Pr="003F2A7B">
        <w:rPr>
          <w:rFonts w:ascii="Times New Roman" w:hAnsi="Times New Roman" w:cs="Times New Roman"/>
          <w:sz w:val="24"/>
          <w:szCs w:val="24"/>
          <w:shd w:val="clear" w:color="auto" w:fill="FFFFFF"/>
        </w:rPr>
        <w:t>Satellite communication systems offer unique advantages in coverage capabilities that terrestrial networks cannot economically or</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technically replicate. The inherent broadcast nature of satellite transmission enables simultaneous service delivery to vast geographical areas spanning continents and oceans with single infrastructure deployments. This characteristic makes satellite systems indispensable for maritime communications, aeronautical connectivity, and remote area coverage where fiber optic cable deployment or cellular tower construction proves economically</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unviable (Oughton et al., 2021).</w:t>
      </w:r>
    </w:p>
    <w:p w:rsidR="00310A49" w:rsidRPr="003F2A7B" w:rsidRDefault="00310A4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Pr="003F2A7B">
        <w:rPr>
          <w:rFonts w:ascii="Times New Roman" w:hAnsi="Times New Roman" w:cs="Times New Roman"/>
          <w:sz w:val="24"/>
          <w:szCs w:val="24"/>
          <w:shd w:val="clear" w:color="auto" w:fill="FFFFFF"/>
        </w:rPr>
        <w:t>The digital divide between urban and rural populations represents a persistent challenge for global development, with approximately 2.9 billion people remaining unconnected to the internet as of 2021. Terrestrial network deployment costs scale with distance and population density, making fiber-to-the-home and 4G/5G cellular</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services economically unattractive for regions with low subscriber density. Satellite systems, by contrast, exhibit coverage costs largely independent of ground infrastructure requirements, enabling economically viable service delivery to remote communities, islands, and developing regions lacking established communication infrastructure (Hilbert, 2020).</w:t>
      </w:r>
    </w:p>
    <w:p w:rsidR="00310A49" w:rsidRPr="003F2A7B" w:rsidRDefault="00310A4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Pr="003F2A7B">
        <w:rPr>
          <w:rFonts w:ascii="Times New Roman" w:hAnsi="Times New Roman" w:cs="Times New Roman"/>
          <w:sz w:val="24"/>
          <w:szCs w:val="24"/>
          <w:shd w:val="clear" w:color="auto" w:fill="FFFFFF"/>
        </w:rPr>
        <w:t>Mobility support represents another significant advantage of satellite communication, with seamless connectivity maintained across national borders and oceanic expanses without roaming complexities or infrastructure handovers. This characteristic is particularly valuable for maritime shipping, commercial aviation, and land mobile applications traversing remote territories. The integration of satellite connectivity with terrestrial cellular networks through standards such</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as 3GPP Non-Terrestrial Networks (NTN) specifications enables hybrid service delivery, extending coverage beyond cellular footprints while maintaining service continuity (Guidotti et al., 2019).</w:t>
      </w:r>
    </w:p>
    <w:p w:rsidR="00310A49" w:rsidRPr="003F2A7B" w:rsidRDefault="00310A4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00CB2C9B" w:rsidRPr="003F2A7B">
        <w:rPr>
          <w:rFonts w:ascii="Times New Roman" w:hAnsi="Times New Roman" w:cs="Times New Roman"/>
          <w:sz w:val="24"/>
          <w:szCs w:val="24"/>
          <w:shd w:val="clear" w:color="auto" w:fill="FFFFFF"/>
        </w:rPr>
        <w:t>Disaster resilience constitutes a critical differentiator for satellite systems, as orbital infrastructure remains inherently immune to terrestrial disasters including earthquakes, floods, and power grid</w:t>
      </w:r>
      <w:r w:rsidR="00CB2C9B" w:rsidRPr="003F2A7B">
        <w:rPr>
          <w:rFonts w:ascii="Times New Roman" w:hAnsi="Times New Roman" w:cs="Times New Roman"/>
          <w:sz w:val="24"/>
          <w:szCs w:val="24"/>
          <w:shd w:val="clear" w:color="auto" w:fill="FFFFFF"/>
          <w:lang w:val="en-US"/>
        </w:rPr>
        <w:t xml:space="preserve"> </w:t>
      </w:r>
      <w:r w:rsidR="00CB2C9B" w:rsidRPr="003F2A7B">
        <w:rPr>
          <w:rFonts w:ascii="Times New Roman" w:hAnsi="Times New Roman" w:cs="Times New Roman"/>
          <w:sz w:val="24"/>
          <w:szCs w:val="24"/>
          <w:shd w:val="clear" w:color="auto" w:fill="FFFFFF"/>
        </w:rPr>
        <w:t>failures that frequently disable ground-based networks. This resilience makes satellite communication essential for emergency preparedness, disaster response coordination, and business continuity planning. The ability to rapidly deploy portable satellite terminals following infrastructure damage enables critical communications restoration within hours rather than days or weeks required for terrestrial repair (Gomes et al., 2020).</w:t>
      </w:r>
    </w:p>
    <w:p w:rsidR="00A02624" w:rsidRPr="003F2A7B" w:rsidRDefault="00A02624" w:rsidP="002A658F">
      <w:pPr>
        <w:spacing w:line="360" w:lineRule="auto"/>
        <w:rPr>
          <w:rFonts w:ascii="Times New Roman" w:hAnsi="Times New Roman" w:cs="Times New Roman"/>
          <w:sz w:val="24"/>
          <w:szCs w:val="24"/>
          <w:shd w:val="clear" w:color="auto" w:fill="FFFFFF"/>
        </w:rPr>
      </w:pPr>
    </w:p>
    <w:p w:rsidR="00A02624" w:rsidRPr="003F2A7B" w:rsidRDefault="00330931"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noProof/>
          <w:sz w:val="24"/>
          <w:szCs w:val="24"/>
          <w:shd w:val="clear" w:color="auto" w:fill="FFFFFF"/>
          <w:lang w:val="en-US"/>
        </w:rPr>
        <w:lastRenderedPageBreak/>
        <w:drawing>
          <wp:anchor distT="0" distB="0" distL="114300" distR="114300" simplePos="0" relativeHeight="251670528" behindDoc="0" locked="0" layoutInCell="1" allowOverlap="1">
            <wp:simplePos x="0" y="0"/>
            <wp:positionH relativeFrom="column">
              <wp:posOffset>3597468</wp:posOffset>
            </wp:positionH>
            <wp:positionV relativeFrom="paragraph">
              <wp:posOffset>249969</wp:posOffset>
            </wp:positionV>
            <wp:extent cx="2941955" cy="1804946"/>
            <wp:effectExtent l="0" t="0" r="0" b="5080"/>
            <wp:wrapNone/>
            <wp:docPr id="14" name="Picture 14" descr="C:\Users\Henry Asiedu Amoah\AppData\Local\Microsoft\Windows\INetCache\Content.MSO\E9C3FA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nry Asiedu Amoah\AppData\Local\Microsoft\Windows\INetCache\Content.MSO\E9C3FAD1.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3916" cy="1806149"/>
                    </a:xfrm>
                    <a:prstGeom prst="rect">
                      <a:avLst/>
                    </a:prstGeom>
                    <a:noFill/>
                    <a:ln>
                      <a:noFill/>
                    </a:ln>
                  </pic:spPr>
                </pic:pic>
              </a:graphicData>
            </a:graphic>
            <wp14:sizeRelV relativeFrom="margin">
              <wp14:pctHeight>0</wp14:pctHeight>
            </wp14:sizeRelV>
          </wp:anchor>
        </w:drawing>
      </w:r>
      <w:r w:rsidR="00A02624" w:rsidRPr="003F2A7B">
        <w:rPr>
          <w:rFonts w:ascii="Times New Roman" w:hAnsi="Times New Roman" w:cs="Times New Roman"/>
          <w:noProof/>
          <w:sz w:val="24"/>
          <w:szCs w:val="24"/>
          <w:shd w:val="clear" w:color="auto" w:fill="FFFFFF"/>
        </w:rPr>
        <w:drawing>
          <wp:inline distT="0" distB="0" distL="0" distR="0">
            <wp:extent cx="3482340" cy="2051160"/>
            <wp:effectExtent l="0" t="0" r="3810" b="6350"/>
            <wp:docPr id="13" name="Picture 13" descr="C:\Users\Henry Asiedu Amoah\AppData\Local\Microsoft\Windows\INetCache\Content.MSO\C19C3D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nry Asiedu Amoah\AppData\Local\Microsoft\Windows\INetCache\Content.MSO\C19C3D8B.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1853" cy="2062654"/>
                    </a:xfrm>
                    <a:prstGeom prst="rect">
                      <a:avLst/>
                    </a:prstGeom>
                    <a:noFill/>
                    <a:ln>
                      <a:noFill/>
                    </a:ln>
                  </pic:spPr>
                </pic:pic>
              </a:graphicData>
            </a:graphic>
          </wp:inline>
        </w:drawing>
      </w:r>
      <w:r w:rsidRPr="003F2A7B">
        <w:rPr>
          <w:rFonts w:ascii="Times New Roman" w:hAnsi="Times New Roman" w:cs="Times New Roman"/>
          <w:sz w:val="24"/>
          <w:szCs w:val="24"/>
          <w:shd w:val="clear" w:color="auto" w:fill="FFFFFF"/>
          <w:lang w:val="en-US"/>
        </w:rPr>
        <w:t xml:space="preserve"> </w:t>
      </w:r>
    </w:p>
    <w:p w:rsidR="00CB2C9B" w:rsidRPr="003F2A7B" w:rsidRDefault="00CB2C9B" w:rsidP="002A658F">
      <w:pPr>
        <w:spacing w:line="360" w:lineRule="auto"/>
        <w:rPr>
          <w:rFonts w:ascii="Times New Roman" w:hAnsi="Times New Roman" w:cs="Times New Roman"/>
          <w:sz w:val="24"/>
          <w:szCs w:val="24"/>
          <w:shd w:val="clear" w:color="auto" w:fill="FFFFFF"/>
        </w:rPr>
      </w:pPr>
    </w:p>
    <w:p w:rsidR="00330931" w:rsidRPr="003F2A7B" w:rsidRDefault="00330931" w:rsidP="002A658F">
      <w:pPr>
        <w:spacing w:line="360" w:lineRule="auto"/>
        <w:rPr>
          <w:rFonts w:ascii="Times New Roman" w:hAnsi="Times New Roman" w:cs="Times New Roman"/>
          <w:sz w:val="24"/>
          <w:szCs w:val="24"/>
          <w:lang w:val="en-US"/>
        </w:rPr>
      </w:pPr>
    </w:p>
    <w:p w:rsidR="00CB2C9B" w:rsidRPr="003F2A7B" w:rsidRDefault="00CB2C9B" w:rsidP="002A658F">
      <w:pPr>
        <w:spacing w:line="360" w:lineRule="auto"/>
        <w:rPr>
          <w:rFonts w:ascii="Times New Roman" w:hAnsi="Times New Roman" w:cs="Times New Roman"/>
          <w:sz w:val="24"/>
          <w:szCs w:val="24"/>
          <w:lang w:val="en-US"/>
        </w:rPr>
      </w:pPr>
      <w:r w:rsidRPr="003F2A7B">
        <w:rPr>
          <w:rFonts w:ascii="Times New Roman" w:hAnsi="Times New Roman" w:cs="Times New Roman"/>
          <w:sz w:val="24"/>
          <w:szCs w:val="24"/>
          <w:lang w:val="en-US"/>
        </w:rPr>
        <w:t>4.2 Performance Limitations and Constraints</w:t>
      </w:r>
    </w:p>
    <w:p w:rsidR="0098756B" w:rsidRPr="003F2A7B" w:rsidRDefault="0098756B"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lang w:val="en-US"/>
        </w:rPr>
        <w:tab/>
      </w:r>
      <w:r w:rsidRPr="003F2A7B">
        <w:rPr>
          <w:rFonts w:ascii="Times New Roman" w:hAnsi="Times New Roman" w:cs="Times New Roman"/>
          <w:sz w:val="24"/>
          <w:szCs w:val="24"/>
          <w:shd w:val="clear" w:color="auto" w:fill="FFFFFF"/>
        </w:rPr>
        <w:t>Despite coverage advantages, satellite communication faces inherent performance limitations compared to terrestrial alternatives, most notably in latency characteristics. Geostationary satellite systems impose round-trip signal propagation delays of approximately 500- 600 milliseconds due to the 35,786-kilometer orbital altitude, creating noticeable delays in voice conversations and significant challenges for interactive applications. These latency constraints render GEO satellites unsuitable for real-time gaming, high-frequency trading, and certain industrial control applications requiring millisecond-level response times (Pathak &amp; Pal, 2021).</w:t>
      </w:r>
    </w:p>
    <w:p w:rsidR="0098756B" w:rsidRPr="003F2A7B" w:rsidRDefault="0098756B"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t>LEO constellations substantially mitigate latency concerns through reduced orbital altitudes, achieving round-trip delays comparable to terrestrial fiber networks (20-40 milliseconds). However, the rapid orbital motion of LEO satellites introduces handover complexities as terminals must switch between satellites every few minutes, potentially causing service interruptions if not managed seamlessly. Additionally, the large constellation sizes required for continuous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coverage increase system complexity and the probability of satellite failures affecting service availability (Handley, 2021).</w:t>
      </w:r>
    </w:p>
    <w:p w:rsidR="0098756B" w:rsidRPr="003F2A7B" w:rsidRDefault="0098756B"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Atmospheric propagation effects present significant challenges for satellite communication, particularly at higher frequencies utilized by modern HTS systems. Rain fade, caused by precipitation attenuating radio signals, can degrade link performance or cause temporary</w:t>
      </w:r>
      <w:r w:rsidRPr="003F2A7B">
        <w:rPr>
          <w:rFonts w:ascii="Times New Roman" w:hAnsi="Times New Roman" w:cs="Times New Roman"/>
          <w:sz w:val="24"/>
          <w:szCs w:val="24"/>
          <w:shd w:val="clear" w:color="auto" w:fill="FFFFFF"/>
          <w:lang w:val="en-US"/>
        </w:rPr>
        <w:t xml:space="preserve"> </w:t>
      </w:r>
      <w:r w:rsidRPr="003F2A7B">
        <w:rPr>
          <w:rFonts w:ascii="Times New Roman" w:eastAsia="Times New Roman" w:hAnsi="Times New Roman" w:cs="Times New Roman"/>
          <w:sz w:val="24"/>
          <w:szCs w:val="24"/>
          <w:lang w:eastAsia="en-GH"/>
        </w:rPr>
        <w:t>service outages during severe weather events. The impact of rain fade increases with frequency, with Ka-band systems experiencing 6-10 dB additional attenuation during heavy rain compared to clear sky conditions. While adaptive coding and modulation techniques mitigate these effects, link margins must be designed conservatively, reducing spectral efficiency during adverse weather (Panagopoulos et al., 2020).</w:t>
      </w:r>
    </w:p>
    <w:p w:rsidR="0098756B" w:rsidRPr="003F2A7B" w:rsidRDefault="0098756B"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lastRenderedPageBreak/>
        <w:tab/>
      </w:r>
      <w:r w:rsidRPr="003F2A7B">
        <w:rPr>
          <w:rFonts w:ascii="Times New Roman" w:hAnsi="Times New Roman" w:cs="Times New Roman"/>
          <w:sz w:val="24"/>
          <w:szCs w:val="24"/>
          <w:shd w:val="clear" w:color="auto" w:fill="FFFFFF"/>
        </w:rPr>
        <w:t>Spectrum availability and regulatory constraints limit satellite system expansion, with orbital slots and frequency allocations governed by international coordination processes that can require years to complete. The increasing density of satellite constellations intensifies spectrum competition and interference concerns, potentially constraining future capacity growth. Terrestrial networks, by contrast,</w:t>
      </w:r>
      <w:r w:rsidRPr="003F2A7B">
        <w:rPr>
          <w:rFonts w:ascii="Times New Roman" w:hAnsi="Times New Roman" w:cs="Times New Roman"/>
          <w:sz w:val="24"/>
          <w:szCs w:val="24"/>
          <w:shd w:val="clear" w:color="auto" w:fill="FFFFFF"/>
          <w:lang w:val="en-US"/>
        </w:rPr>
        <w:t xml:space="preserve"> </w:t>
      </w:r>
      <w:r w:rsidRPr="003F2A7B">
        <w:rPr>
          <w:rFonts w:ascii="Times New Roman" w:eastAsia="Times New Roman" w:hAnsi="Times New Roman" w:cs="Times New Roman"/>
          <w:sz w:val="24"/>
          <w:szCs w:val="24"/>
          <w:lang w:eastAsia="en-GH"/>
        </w:rPr>
        <w:t>can utilize unlicensed spectrum bands and implement cognitive radio techniques with greater flexibility, though they remain subject to local regulatory approvals (Sharma et al., 2020).</w:t>
      </w:r>
    </w:p>
    <w:p w:rsidR="00876F99" w:rsidRPr="003F2A7B" w:rsidRDefault="00870780"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noProof/>
          <w:sz w:val="24"/>
          <w:szCs w:val="24"/>
        </w:rPr>
        <w:drawing>
          <wp:anchor distT="0" distB="0" distL="114300" distR="114300" simplePos="0" relativeHeight="251672576" behindDoc="0" locked="0" layoutInCell="1" allowOverlap="1">
            <wp:simplePos x="0" y="0"/>
            <wp:positionH relativeFrom="column">
              <wp:posOffset>3455145</wp:posOffset>
            </wp:positionH>
            <wp:positionV relativeFrom="paragraph">
              <wp:posOffset>219931</wp:posOffset>
            </wp:positionV>
            <wp:extent cx="2576195" cy="1781175"/>
            <wp:effectExtent l="0" t="0" r="0" b="9525"/>
            <wp:wrapNone/>
            <wp:docPr id="16" name="Picture 16" descr="Preliminary Design of Satellite Sys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liminary Design of Satellite System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6195" cy="1781175"/>
                    </a:xfrm>
                    <a:prstGeom prst="rect">
                      <a:avLst/>
                    </a:prstGeom>
                    <a:noFill/>
                    <a:ln>
                      <a:noFill/>
                    </a:ln>
                  </pic:spPr>
                </pic:pic>
              </a:graphicData>
            </a:graphic>
          </wp:anchor>
        </w:drawing>
      </w:r>
      <w:r w:rsidRPr="003F2A7B">
        <w:rPr>
          <w:rFonts w:ascii="Times New Roman" w:hAnsi="Times New Roman" w:cs="Times New Roman"/>
          <w:noProof/>
          <w:sz w:val="24"/>
          <w:szCs w:val="24"/>
        </w:rPr>
        <w:drawing>
          <wp:anchor distT="0" distB="0" distL="114300" distR="114300" simplePos="0" relativeHeight="251671552" behindDoc="0" locked="0" layoutInCell="1" allowOverlap="1">
            <wp:simplePos x="0" y="0"/>
            <wp:positionH relativeFrom="column">
              <wp:posOffset>245165</wp:posOffset>
            </wp:positionH>
            <wp:positionV relativeFrom="paragraph">
              <wp:posOffset>218661</wp:posOffset>
            </wp:positionV>
            <wp:extent cx="2616200" cy="1741170"/>
            <wp:effectExtent l="0" t="0" r="0" b="0"/>
            <wp:wrapSquare wrapText="bothSides"/>
            <wp:docPr id="15" name="Picture 15" descr="Scientists warn that space is becom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ientists warn that space is becoming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6200" cy="1741170"/>
                    </a:xfrm>
                    <a:prstGeom prst="rect">
                      <a:avLst/>
                    </a:prstGeom>
                    <a:noFill/>
                    <a:ln>
                      <a:noFill/>
                    </a:ln>
                  </pic:spPr>
                </pic:pic>
              </a:graphicData>
            </a:graphic>
          </wp:anchor>
        </w:drawing>
      </w:r>
    </w:p>
    <w:p w:rsidR="00A63D17" w:rsidRPr="003F2A7B" w:rsidRDefault="00876F99" w:rsidP="00876F99">
      <w:pPr>
        <w:shd w:val="clear" w:color="auto" w:fill="FFFFFF"/>
        <w:tabs>
          <w:tab w:val="left" w:pos="1490"/>
        </w:tabs>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ab/>
      </w:r>
      <w:r w:rsidRPr="003F2A7B">
        <w:rPr>
          <w:rFonts w:ascii="Times New Roman" w:eastAsia="Times New Roman" w:hAnsi="Times New Roman" w:cs="Times New Roman"/>
          <w:sz w:val="24"/>
          <w:szCs w:val="24"/>
          <w:lang w:eastAsia="en-GH"/>
        </w:rPr>
        <w:br w:type="textWrapping" w:clear="all"/>
      </w:r>
    </w:p>
    <w:p w:rsidR="004A157B" w:rsidRPr="003F2A7B" w:rsidRDefault="004A157B"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p>
    <w:p w:rsidR="0098756B" w:rsidRPr="003F2A7B" w:rsidRDefault="0098756B"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r w:rsidRPr="003F2A7B">
        <w:rPr>
          <w:rFonts w:ascii="Times New Roman" w:eastAsia="Times New Roman" w:hAnsi="Times New Roman" w:cs="Times New Roman"/>
          <w:sz w:val="24"/>
          <w:szCs w:val="24"/>
          <w:lang w:val="en-US" w:eastAsia="en-GH"/>
        </w:rPr>
        <w:t>4.3 Economic and Development Considerations</w:t>
      </w:r>
    </w:p>
    <w:p w:rsidR="00227BF0" w:rsidRPr="003F2A7B" w:rsidRDefault="00227BF0"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eastAsia="Times New Roman" w:hAnsi="Times New Roman" w:cs="Times New Roman"/>
          <w:sz w:val="24"/>
          <w:szCs w:val="24"/>
          <w:lang w:val="en-US" w:eastAsia="en-GH"/>
        </w:rPr>
        <w:tab/>
      </w:r>
      <w:r w:rsidRPr="003F2A7B">
        <w:rPr>
          <w:rFonts w:ascii="Times New Roman" w:hAnsi="Times New Roman" w:cs="Times New Roman"/>
          <w:sz w:val="24"/>
          <w:szCs w:val="24"/>
          <w:shd w:val="clear" w:color="auto" w:fill="FFFFFF"/>
        </w:rPr>
        <w:t>The economics of satellite communication have evolved dramatically</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with the advent of reusable launch vehicles and standardized small satellite platforms. Traditional large GEO satellites costing $250-400 million and requiring dedicated launches on heavy-lift rockets presented significant barriers to market entry. Modern small satellites and constellation approaches utilizing rideshare launches have reduced per-satellite costs to $250,000-1 million, enabling commercial ventures with capital requirements comparable to</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terrestrial network deployments (Mazzucato et al., 2021).</w:t>
      </w:r>
    </w:p>
    <w:p w:rsidR="00227BF0" w:rsidRPr="003F2A7B" w:rsidRDefault="00227BF0"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t>However, the total cost of ownership for satellite systems includes significant operational expenditures for ground infrastructure, spectrum licensing, and satellite replacement cycles. Geostationary satellites typically operate for 15-20 years, while LEO satellites experience accelerated orbital decay requiring replacement every 5-7</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years. The continuous replenishment requirements for large LEO constellations create ongoing capital expenditure obligations that must be factored into long-term business models. SpaceX's Starlink constellation, for example, requires estimated total investments exceeding $10 billion for full deployment and initial replacement cycles (Fitch Ratings, 2020).</w:t>
      </w:r>
    </w:p>
    <w:p w:rsidR="00227BF0" w:rsidRPr="003F2A7B" w:rsidRDefault="00227BF0"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lastRenderedPageBreak/>
        <w:tab/>
      </w:r>
      <w:r w:rsidRPr="003F2A7B">
        <w:rPr>
          <w:rFonts w:ascii="Times New Roman" w:hAnsi="Times New Roman" w:cs="Times New Roman"/>
          <w:sz w:val="24"/>
          <w:szCs w:val="24"/>
          <w:shd w:val="clear" w:color="auto" w:fill="FFFFFF"/>
        </w:rPr>
        <w:t xml:space="preserve">Terrestrial network deployment, while capital intensive, benefits from longer infrastructure lifespans and incremental expansion capabilities. </w:t>
      </w:r>
      <w:r w:rsidR="0068737C" w:rsidRPr="003F2A7B">
        <w:rPr>
          <w:rFonts w:ascii="Times New Roman" w:hAnsi="Times New Roman" w:cs="Times New Roman"/>
          <w:sz w:val="24"/>
          <w:szCs w:val="24"/>
          <w:shd w:val="clear" w:color="auto" w:fill="FFFFFF"/>
        </w:rPr>
        <w:t>Fibre</w:t>
      </w:r>
      <w:r w:rsidRPr="003F2A7B">
        <w:rPr>
          <w:rFonts w:ascii="Times New Roman" w:hAnsi="Times New Roman" w:cs="Times New Roman"/>
          <w:sz w:val="24"/>
          <w:szCs w:val="24"/>
          <w:shd w:val="clear" w:color="auto" w:fill="FFFFFF"/>
        </w:rPr>
        <w:t xml:space="preserve"> optic cables operate for 25-30 years with minimal maintenance, while cellular base stations typically serve 10-15 years before requiring replacement. The modular nature of terrestrial networks enables demand-driven expansion, with capacity added incrementally as subscriber growth justifies investment. Satellite systems, by contrast, require substantial upfront constellation</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deployment before service initiation, creating extended periods of negative cash flow that challenge venture financing (Oughton et al., 2021).</w:t>
      </w:r>
    </w:p>
    <w:p w:rsidR="00E9490F" w:rsidRPr="003F2A7B" w:rsidRDefault="00E94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convergence of satellite and terrestrial technologies through hybrid networks and integrated service offerings represents an emerging trend that leverages complementary strengths of each</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approach. Multi-orbit strategies combining GEO, MEO, and LEO assets enable service providers to optimize latency, coverage, and capacity according to specific application requirements. Ground segment virtualization and software-defined networking facilitate seamless integration of satellite links with terrestrial backhaul, creating unified communication infrastructures that transcend traditional technology boundaries (Guidotti et al., 2019).</w:t>
      </w:r>
    </w:p>
    <w:p w:rsidR="000364DB" w:rsidRPr="003F2A7B" w:rsidRDefault="000364DB"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noProof/>
          <w:sz w:val="24"/>
          <w:szCs w:val="24"/>
        </w:rPr>
        <w:drawing>
          <wp:anchor distT="0" distB="0" distL="114300" distR="114300" simplePos="0" relativeHeight="251674624" behindDoc="0" locked="0" layoutInCell="1" allowOverlap="1">
            <wp:simplePos x="0" y="0"/>
            <wp:positionH relativeFrom="column">
              <wp:posOffset>3739984</wp:posOffset>
            </wp:positionH>
            <wp:positionV relativeFrom="paragraph">
              <wp:posOffset>0</wp:posOffset>
            </wp:positionV>
            <wp:extent cx="2991905" cy="2273935"/>
            <wp:effectExtent l="0" t="0" r="0" b="0"/>
            <wp:wrapNone/>
            <wp:docPr id="18" name="Picture 18" descr="Satellite Navigation - GPS - How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tellite Navigation - GPS - How It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1905" cy="2273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2A7B">
        <w:rPr>
          <w:rFonts w:ascii="Times New Roman" w:hAnsi="Times New Roman" w:cs="Times New Roman"/>
          <w:noProof/>
          <w:sz w:val="24"/>
          <w:szCs w:val="24"/>
          <w:shd w:val="clear" w:color="auto" w:fill="FFFFFF"/>
        </w:rPr>
        <w:drawing>
          <wp:anchor distT="0" distB="0" distL="114300" distR="114300" simplePos="0" relativeHeight="251673600" behindDoc="0" locked="0" layoutInCell="1" allowOverlap="1">
            <wp:simplePos x="723265" y="4603750"/>
            <wp:positionH relativeFrom="column">
              <wp:align>left</wp:align>
            </wp:positionH>
            <wp:positionV relativeFrom="paragraph">
              <wp:align>top</wp:align>
            </wp:positionV>
            <wp:extent cx="3416300" cy="2273935"/>
            <wp:effectExtent l="0" t="0" r="0" b="0"/>
            <wp:wrapSquare wrapText="bothSides"/>
            <wp:docPr id="17" name="Picture 17" descr="C:\Users\Henry Asiedu Amoah\AppData\Local\Microsoft\Windows\INetCache\Content.MSO\EBB774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enry Asiedu Amoah\AppData\Local\Microsoft\Windows\INetCache\Content.MSO\EBB774AD.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6300" cy="2273935"/>
                    </a:xfrm>
                    <a:prstGeom prst="rect">
                      <a:avLst/>
                    </a:prstGeom>
                    <a:noFill/>
                    <a:ln>
                      <a:noFill/>
                    </a:ln>
                  </pic:spPr>
                </pic:pic>
              </a:graphicData>
            </a:graphic>
          </wp:anchor>
        </w:drawing>
      </w:r>
    </w:p>
    <w:p w:rsidR="000364DB" w:rsidRPr="003F2A7B" w:rsidRDefault="000364DB" w:rsidP="000364DB">
      <w:pPr>
        <w:rPr>
          <w:rFonts w:ascii="Times New Roman" w:hAnsi="Times New Roman" w:cs="Times New Roman"/>
          <w:sz w:val="24"/>
          <w:szCs w:val="24"/>
        </w:rPr>
      </w:pPr>
    </w:p>
    <w:p w:rsidR="000364DB" w:rsidRPr="003F2A7B" w:rsidRDefault="000364DB" w:rsidP="000364DB">
      <w:pPr>
        <w:rPr>
          <w:rFonts w:ascii="Times New Roman" w:hAnsi="Times New Roman" w:cs="Times New Roman"/>
          <w:sz w:val="24"/>
          <w:szCs w:val="24"/>
        </w:rPr>
      </w:pPr>
    </w:p>
    <w:p w:rsidR="000364DB" w:rsidRPr="003F2A7B" w:rsidRDefault="000364DB" w:rsidP="000364DB">
      <w:pPr>
        <w:rPr>
          <w:rFonts w:ascii="Times New Roman" w:hAnsi="Times New Roman" w:cs="Times New Roman"/>
          <w:sz w:val="24"/>
          <w:szCs w:val="24"/>
        </w:rPr>
      </w:pPr>
    </w:p>
    <w:p w:rsidR="000364DB" w:rsidRPr="003F2A7B" w:rsidRDefault="000364DB" w:rsidP="000364DB">
      <w:pPr>
        <w:rPr>
          <w:rFonts w:ascii="Times New Roman" w:hAnsi="Times New Roman" w:cs="Times New Roman"/>
          <w:sz w:val="24"/>
          <w:szCs w:val="24"/>
        </w:rPr>
      </w:pPr>
    </w:p>
    <w:p w:rsidR="000364DB" w:rsidRPr="003F2A7B" w:rsidRDefault="000364DB"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0364DB" w:rsidRPr="003F2A7B" w:rsidRDefault="000364DB" w:rsidP="000364DB">
      <w:pPr>
        <w:shd w:val="clear" w:color="auto" w:fill="FFFFFF"/>
        <w:tabs>
          <w:tab w:val="left" w:pos="1064"/>
        </w:tabs>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r>
      <w:r w:rsidRPr="003F2A7B">
        <w:rPr>
          <w:rFonts w:ascii="Times New Roman" w:hAnsi="Times New Roman" w:cs="Times New Roman"/>
          <w:sz w:val="24"/>
          <w:szCs w:val="24"/>
          <w:shd w:val="clear" w:color="auto" w:fill="FFFFFF"/>
        </w:rPr>
        <w:br w:type="textWrapping" w:clear="all"/>
      </w:r>
    </w:p>
    <w:p w:rsidR="004A157B" w:rsidRPr="003F2A7B" w:rsidRDefault="004A157B" w:rsidP="002A658F">
      <w:pPr>
        <w:shd w:val="clear" w:color="auto" w:fill="FFFFFF"/>
        <w:spacing w:line="360" w:lineRule="auto"/>
        <w:textAlignment w:val="baseline"/>
        <w:rPr>
          <w:rFonts w:ascii="Times New Roman" w:hAnsi="Times New Roman" w:cs="Times New Roman"/>
          <w:sz w:val="24"/>
          <w:szCs w:val="24"/>
          <w:shd w:val="clear" w:color="auto" w:fill="FFFFFF"/>
          <w:lang w:val="en-US"/>
        </w:rPr>
      </w:pPr>
    </w:p>
    <w:p w:rsidR="00E9490F" w:rsidRPr="003F2A7B" w:rsidRDefault="00E9490F" w:rsidP="002A658F">
      <w:pPr>
        <w:shd w:val="clear" w:color="auto" w:fill="FFFFFF"/>
        <w:spacing w:line="360" w:lineRule="auto"/>
        <w:textAlignment w:val="baseline"/>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5. Challenges in Satellite Data Communication</w:t>
      </w:r>
    </w:p>
    <w:p w:rsidR="00E9490F" w:rsidRPr="003F2A7B" w:rsidRDefault="00E9490F" w:rsidP="002A658F">
      <w:pPr>
        <w:shd w:val="clear" w:color="auto" w:fill="FFFFFF"/>
        <w:spacing w:line="360" w:lineRule="auto"/>
        <w:textAlignment w:val="baseline"/>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5.1 Atmospheric Attenuation and Propagation Effects</w:t>
      </w:r>
    </w:p>
    <w:p w:rsidR="007D3068" w:rsidRPr="003F2A7B" w:rsidRDefault="00E94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Atmospheric conditions significantly impact satellite signal propagation, with effects ranging from minor signal degradation to complete link interruption depending on frequency, elevation angle, and weather severity. The Earth's atmosphere introduces signal attenuation through molecular absorption, scattering, and refractive effects that must be accounted for in link budget calculations and</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system design (Ippolito, 2017).</w:t>
      </w:r>
    </w:p>
    <w:p w:rsidR="00E9490F" w:rsidRPr="003F2A7B" w:rsidRDefault="00E94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lastRenderedPageBreak/>
        <w:tab/>
      </w:r>
      <w:r w:rsidRPr="003F2A7B">
        <w:rPr>
          <w:rFonts w:ascii="Times New Roman" w:hAnsi="Times New Roman" w:cs="Times New Roman"/>
          <w:sz w:val="24"/>
          <w:szCs w:val="24"/>
          <w:shd w:val="clear" w:color="auto" w:fill="FFFFFF"/>
        </w:rPr>
        <w:t>Tropospheric effects, occurring in the lowest atmospheric layer (0-10 km altitude), represent the dominant propagation impairment for satellite communication. Rain attenuation constitutes the most significant tropospheric effect, with</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precipitation particles absorbing and scattering electromagnetic energy, particularly at frequencies above 10 GHz. The relationship between rain rate and signal attenuation follows approximately a frequency-dependent power law, with Ka-band signals experiencing attenuation rates 10-20 times higher than C-band under equivalent rain conditions. Regional climate variations necessitate location-specific link design, with tropical regions requiring substantially higher rain margins than arid environments (Panagopoulos et al., 2020).</w:t>
      </w:r>
    </w:p>
    <w:p w:rsidR="00E9490F" w:rsidRPr="003F2A7B" w:rsidRDefault="00E94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0045690F" w:rsidRPr="003F2A7B">
        <w:rPr>
          <w:rFonts w:ascii="Times New Roman" w:hAnsi="Times New Roman" w:cs="Times New Roman"/>
          <w:sz w:val="24"/>
          <w:szCs w:val="24"/>
          <w:shd w:val="clear" w:color="auto" w:fill="FFFFFF"/>
        </w:rPr>
        <w:t>Cloud and fog attenuation, while less severe than rain fade, contribute additional losses particularly at millimetre-wave frequencies. Liquid water droplets in clouds cause absorption</w:t>
      </w:r>
      <w:r w:rsidR="0045690F" w:rsidRPr="003F2A7B">
        <w:rPr>
          <w:rFonts w:ascii="Times New Roman" w:hAnsi="Times New Roman" w:cs="Times New Roman"/>
          <w:sz w:val="24"/>
          <w:szCs w:val="24"/>
          <w:shd w:val="clear" w:color="auto" w:fill="FFFFFF"/>
          <w:lang w:val="en-US"/>
        </w:rPr>
        <w:t xml:space="preserve"> </w:t>
      </w:r>
      <w:r w:rsidR="0045690F" w:rsidRPr="003F2A7B">
        <w:rPr>
          <w:rFonts w:ascii="Times New Roman" w:hAnsi="Times New Roman" w:cs="Times New Roman"/>
          <w:sz w:val="24"/>
          <w:szCs w:val="24"/>
          <w:shd w:val="clear" w:color="auto" w:fill="FFFFFF"/>
        </w:rPr>
        <w:t>and scattering that can attenuate Ka-band signals by 1-3 dB during overcast conditions. Atmospheric gases, primarily oxygen and water vapor, introduce frequency-selective absorption with peaks at 22 GHz (water vapor) and 60 GHz (oxygen) that influence frequency band selection and system availability calculations (Bhatt et al., 2020).</w:t>
      </w:r>
    </w:p>
    <w:p w:rsidR="0045690F" w:rsidRPr="003F2A7B" w:rsidRDefault="00456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Ionospheric effects, occurring in the upper atmosphere (50-1,000 km altitude), impact satellite communication through several mechanisms including Faraday rotation, scintillation, and group delay. Faraday rotation causes polarization plane rotation of linearly polarized signals passing through the ionosphere, potentially degrading polarization isolation in dual-polarization systems. Scintillation manifests as rapid</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signal amplitude and phase fluctuations caused by ionospheric irregularities, particularly problematic for equatorial and high-latitude regions during periods of high solar activity. These effects vary with time of day, season, and the 11-year solar cycle, requiring adaptive mitigation techniques (Pratt et al., 2021).</w:t>
      </w:r>
    </w:p>
    <w:p w:rsidR="0045690F" w:rsidRPr="003F2A7B" w:rsidRDefault="00456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Mitigation strategies for atmospheric propagation effects include adaptive coding and modulation (ACM), uplink power control, site diversity, and signal processing techniques. ACM systems dynamically adjust modulation order and coding rate based on measured link conditions, reducing data rates during fading events to maintain connectivity rather than suffering complete outages. Uplink power control increases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transmission power to compensate for rain attenuation, though satellite power limitations constrain the available compensation range. Site diversity utilizes geographically separated ground stations to exploit statistical independence of rain events, switching traffic to clear-sky locations during localized storms (Saunders &amp; Aragon-Zavala, 2020).</w:t>
      </w:r>
    </w:p>
    <w:p w:rsidR="00117BCA" w:rsidRPr="003F2A7B" w:rsidRDefault="00117BC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117BCA" w:rsidRPr="003F2A7B" w:rsidRDefault="00117BC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45690F" w:rsidRPr="003F2A7B" w:rsidRDefault="00117BCA"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noProof/>
          <w:sz w:val="24"/>
          <w:szCs w:val="24"/>
          <w:shd w:val="clear" w:color="auto" w:fill="FFFFFF"/>
        </w:rPr>
        <w:lastRenderedPageBreak/>
        <w:drawing>
          <wp:anchor distT="0" distB="0" distL="114300" distR="114300" simplePos="0" relativeHeight="251676672" behindDoc="0" locked="0" layoutInCell="1" allowOverlap="1">
            <wp:simplePos x="0" y="0"/>
            <wp:positionH relativeFrom="column">
              <wp:posOffset>3382783</wp:posOffset>
            </wp:positionH>
            <wp:positionV relativeFrom="paragraph">
              <wp:posOffset>3479</wp:posOffset>
            </wp:positionV>
            <wp:extent cx="3124835" cy="2202180"/>
            <wp:effectExtent l="0" t="0" r="0" b="7620"/>
            <wp:wrapNone/>
            <wp:docPr id="20" name="Picture 20" descr="C:\Users\Henry Asiedu Amoah\AppData\Local\Microsoft\Windows\INetCache\Content.MSO\57CEFF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enry Asiedu Amoah\AppData\Local\Microsoft\Windows\INetCache\Content.MSO\57CEFFB6.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26157" cy="22031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2A7B">
        <w:rPr>
          <w:rFonts w:ascii="Times New Roman" w:hAnsi="Times New Roman" w:cs="Times New Roman"/>
          <w:noProof/>
          <w:sz w:val="24"/>
          <w:szCs w:val="24"/>
          <w:shd w:val="clear" w:color="auto" w:fill="FFFFFF"/>
        </w:rPr>
        <w:t xml:space="preserve"> </w:t>
      </w:r>
      <w:r w:rsidRPr="003F2A7B">
        <w:rPr>
          <w:rFonts w:ascii="Times New Roman" w:hAnsi="Times New Roman" w:cs="Times New Roman"/>
          <w:noProof/>
          <w:sz w:val="24"/>
          <w:szCs w:val="24"/>
          <w:shd w:val="clear" w:color="auto" w:fill="FFFFFF"/>
        </w:rPr>
        <w:drawing>
          <wp:anchor distT="0" distB="0" distL="114300" distR="114300" simplePos="0" relativeHeight="251675648" behindDoc="0" locked="0" layoutInCell="1" allowOverlap="1">
            <wp:simplePos x="723569" y="723569"/>
            <wp:positionH relativeFrom="column">
              <wp:align>left</wp:align>
            </wp:positionH>
            <wp:positionV relativeFrom="paragraph">
              <wp:align>top</wp:align>
            </wp:positionV>
            <wp:extent cx="3118538" cy="2202511"/>
            <wp:effectExtent l="0" t="0" r="5715" b="7620"/>
            <wp:wrapSquare wrapText="bothSides"/>
            <wp:docPr id="19" name="Picture 19" descr="C:\Users\Henry Asiedu Amoah\AppData\Local\Microsoft\Windows\INetCache\Content.MSO\FBFC6D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enry Asiedu Amoah\AppData\Local\Microsoft\Windows\INetCache\Content.MSO\FBFC6D68.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8538" cy="2202511"/>
                    </a:xfrm>
                    <a:prstGeom prst="rect">
                      <a:avLst/>
                    </a:prstGeom>
                    <a:noFill/>
                    <a:ln>
                      <a:noFill/>
                    </a:ln>
                  </pic:spPr>
                </pic:pic>
              </a:graphicData>
            </a:graphic>
          </wp:anchor>
        </w:drawing>
      </w:r>
      <w:r w:rsidRPr="003F2A7B">
        <w:rPr>
          <w:rFonts w:ascii="Times New Roman" w:hAnsi="Times New Roman" w:cs="Times New Roman"/>
          <w:sz w:val="24"/>
          <w:szCs w:val="24"/>
          <w:shd w:val="clear" w:color="auto" w:fill="FFFFFF"/>
        </w:rPr>
        <w:br w:type="textWrapping" w:clear="all"/>
      </w:r>
    </w:p>
    <w:p w:rsidR="00117BCA" w:rsidRPr="003F2A7B" w:rsidRDefault="00117BC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45690F" w:rsidRPr="003F2A7B" w:rsidRDefault="0045690F" w:rsidP="002A658F">
      <w:pPr>
        <w:shd w:val="clear" w:color="auto" w:fill="FFFFFF"/>
        <w:spacing w:line="360" w:lineRule="auto"/>
        <w:textAlignment w:val="baseline"/>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5.2 Latency and Quality of Service Constraints</w:t>
      </w:r>
    </w:p>
    <w:p w:rsidR="0045690F" w:rsidRPr="003F2A7B" w:rsidRDefault="00456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Latency represents a fundamental constraint in satellite communication arising from the finite speed of light across orbital distances. Geostationary satellites impose minimum one-way propagation delays of approximately 120 milliseconds, with typical round-trip delays of 500-600</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milliseconds including processing and ground network components. These delays exceed human perceptual thresholds for conversational interactivity (approximately 250 milliseconds), creating noticeable impairments in voice communication and significant challenges for real-time applications (Pathak &amp; Pal, 2021).</w:t>
      </w:r>
    </w:p>
    <w:p w:rsidR="0045690F" w:rsidRPr="003F2A7B" w:rsidRDefault="00456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impact of latency extends beyond user experience to protocol performance, with Transmission Control Protocol (TCP) throughput substantially degraded by long round-trip times. TCP congestion control algorithms interpret satellite latency as network congestion, reducing transmission rates unnecessarily and failing to fully utilize available bandwidth. Performance Enhancing Proxies (PEPs) and TCP acceleration</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techniques mitigate these effects by spoofing acknowledgments and implementing local retransmission mechanisms, though these approaches introduce complexity and potential security concerns (Kota et al., 2020).</w:t>
      </w:r>
    </w:p>
    <w:p w:rsidR="0045690F" w:rsidRPr="003F2A7B" w:rsidRDefault="00456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LEO constellations address latency constraints through reduced orbital altitudes, though they introduce different</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quality of service challenges related to handover management and Doppler effects. The high orbital velocity of LEO satellites (approximately 7.5 km/s) creates significant frequency shifts due to the Doppler effect, requiring receiver compensation across ranges of ±25 ppm at Ka-band frequencies. Handover events between satellites, occurring every few minutes for low-elevation users, must be managed seamlessly to prevent service interruptions, necessitating</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sophisticated antenna tracking and protocol state transfer mechanisms (Handley, 2021).</w:t>
      </w:r>
    </w:p>
    <w:p w:rsidR="0045690F" w:rsidRPr="003F2A7B" w:rsidRDefault="0045690F"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lastRenderedPageBreak/>
        <w:tab/>
      </w:r>
      <w:r w:rsidRPr="003F2A7B">
        <w:rPr>
          <w:rFonts w:ascii="Times New Roman" w:hAnsi="Times New Roman" w:cs="Times New Roman"/>
          <w:sz w:val="24"/>
          <w:szCs w:val="24"/>
          <w:shd w:val="clear" w:color="auto" w:fill="FFFFFF"/>
        </w:rPr>
        <w:t>Quality of Service (QoS) management in satellite networks requires careful traffic engineering to accommodate diverse service requirements within shared infrastructure. Real-time applications including voice over IP and video conferencing</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require low latency and jitter, while bulk data transfer prioritizes throughput over delay characteristics. Differentiated service architectures implement traffic prioritization and resource reservation mechanisms to ensure appropriate treatment of diverse traffic classes. The long propagation delays in satellite systems complicate QoS implementation, as congestion feedback arrives too late for</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reactive control, necessitating predictive resource allocation and proactive traffic management (Fenech et al., 2019).</w:t>
      </w:r>
    </w:p>
    <w:p w:rsidR="0048014A" w:rsidRPr="003F2A7B" w:rsidRDefault="004A252C" w:rsidP="002A658F">
      <w:pPr>
        <w:shd w:val="clear" w:color="auto" w:fill="FFFFFF"/>
        <w:spacing w:line="360" w:lineRule="auto"/>
        <w:textAlignment w:val="baseline"/>
        <w:rPr>
          <w:rFonts w:ascii="Times New Roman" w:hAnsi="Times New Roman" w:cs="Times New Roman"/>
          <w:b/>
          <w:sz w:val="24"/>
          <w:szCs w:val="24"/>
          <w:shd w:val="clear" w:color="auto" w:fill="FFFFFF"/>
        </w:rPr>
      </w:pPr>
      <w:r w:rsidRPr="003F2A7B">
        <w:rPr>
          <w:rFonts w:ascii="Times New Roman" w:hAnsi="Times New Roman" w:cs="Times New Roman"/>
          <w:noProof/>
          <w:sz w:val="24"/>
          <w:szCs w:val="24"/>
        </w:rPr>
        <w:drawing>
          <wp:anchor distT="0" distB="0" distL="114300" distR="114300" simplePos="0" relativeHeight="251678720" behindDoc="0" locked="0" layoutInCell="1" allowOverlap="1">
            <wp:simplePos x="0" y="0"/>
            <wp:positionH relativeFrom="column">
              <wp:posOffset>3565304</wp:posOffset>
            </wp:positionH>
            <wp:positionV relativeFrom="paragraph">
              <wp:posOffset>319405</wp:posOffset>
            </wp:positionV>
            <wp:extent cx="2917825" cy="2273300"/>
            <wp:effectExtent l="0" t="0" r="0" b="0"/>
            <wp:wrapNone/>
            <wp:docPr id="22" name="Picture 22" descr="Delay and Energy Aware Routing (DE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lay and Energy Aware Routing (DEAR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17825"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2A7B">
        <w:rPr>
          <w:rFonts w:ascii="Times New Roman" w:hAnsi="Times New Roman" w:cs="Times New Roman"/>
          <w:noProof/>
          <w:sz w:val="24"/>
          <w:szCs w:val="24"/>
        </w:rPr>
        <w:drawing>
          <wp:anchor distT="0" distB="0" distL="114300" distR="114300" simplePos="0" relativeHeight="251677696" behindDoc="0" locked="0" layoutInCell="1" allowOverlap="1">
            <wp:simplePos x="0" y="0"/>
            <wp:positionH relativeFrom="column">
              <wp:posOffset>-60325</wp:posOffset>
            </wp:positionH>
            <wp:positionV relativeFrom="paragraph">
              <wp:posOffset>255270</wp:posOffset>
            </wp:positionV>
            <wp:extent cx="3441065" cy="2337435"/>
            <wp:effectExtent l="0" t="0" r="6985" b="5715"/>
            <wp:wrapNone/>
            <wp:docPr id="21" name="Picture 21" descr="NTN) Satellite Communic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TN) Satellite Communication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41065" cy="2337435"/>
                    </a:xfrm>
                    <a:prstGeom prst="rect">
                      <a:avLst/>
                    </a:prstGeom>
                    <a:noFill/>
                    <a:ln>
                      <a:noFill/>
                    </a:ln>
                  </pic:spPr>
                </pic:pic>
              </a:graphicData>
            </a:graphic>
          </wp:anchor>
        </w:drawing>
      </w:r>
    </w:p>
    <w:p w:rsidR="0048014A" w:rsidRPr="003F2A7B" w:rsidRDefault="0048014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48014A" w:rsidRPr="003F2A7B" w:rsidRDefault="0048014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48014A" w:rsidRPr="003F2A7B" w:rsidRDefault="0048014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48014A" w:rsidRPr="003F2A7B" w:rsidRDefault="0048014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48014A" w:rsidRPr="003F2A7B" w:rsidRDefault="0048014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48014A" w:rsidRPr="003F2A7B" w:rsidRDefault="0048014A"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CD0D34" w:rsidRPr="003F2A7B" w:rsidRDefault="00CD0D34" w:rsidP="002A658F">
      <w:pPr>
        <w:shd w:val="clear" w:color="auto" w:fill="FFFFFF"/>
        <w:spacing w:line="360" w:lineRule="auto"/>
        <w:textAlignment w:val="baseline"/>
        <w:rPr>
          <w:rFonts w:ascii="Times New Roman" w:hAnsi="Times New Roman" w:cs="Times New Roman"/>
          <w:sz w:val="24"/>
          <w:szCs w:val="24"/>
          <w:shd w:val="clear" w:color="auto" w:fill="FFFFFF"/>
        </w:rPr>
      </w:pPr>
    </w:p>
    <w:p w:rsidR="00AA4B0B" w:rsidRPr="003F2A7B" w:rsidRDefault="00AA4B0B" w:rsidP="002A658F">
      <w:pPr>
        <w:shd w:val="clear" w:color="auto" w:fill="FFFFFF"/>
        <w:spacing w:line="360" w:lineRule="auto"/>
        <w:textAlignment w:val="baseline"/>
        <w:rPr>
          <w:rFonts w:ascii="Times New Roman" w:hAnsi="Times New Roman" w:cs="Times New Roman"/>
          <w:sz w:val="24"/>
          <w:szCs w:val="24"/>
          <w:shd w:val="clear" w:color="auto" w:fill="FFFFFF"/>
          <w:lang w:val="en-US"/>
        </w:rPr>
      </w:pPr>
    </w:p>
    <w:p w:rsidR="0048014A" w:rsidRPr="003F2A7B" w:rsidRDefault="00CD0D34" w:rsidP="002A658F">
      <w:pPr>
        <w:shd w:val="clear" w:color="auto" w:fill="FFFFFF"/>
        <w:spacing w:line="360" w:lineRule="auto"/>
        <w:textAlignment w:val="baseline"/>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5.3 Orbital Debris and Space Sustainability</w:t>
      </w:r>
    </w:p>
    <w:p w:rsidR="00CD0D34" w:rsidRPr="003F2A7B" w:rsidRDefault="00CD0D34"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proliferation of orbital debris represents an existential threat to satellite infrastructure sustainability, with current estimates indicating over 34,000 trackable debris objects larger than 10 cm and millions of smaller particles capable of damaging or destroying operational satellites. The increasing deployment of large satellite constellations, while expanding communication capabilities, exacerbates debris concerns through increased launch traffic, potential collision events, and post-mission disposal requirements (European Space Agency, 2021).</w:t>
      </w:r>
    </w:p>
    <w:p w:rsidR="00CD0D34" w:rsidRPr="003F2A7B" w:rsidRDefault="00CD0D34"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 xml:space="preserve">The Kessler Syndrome, a theoretical scenario of cascading collisions generating exponentially increasing debris populations, poses long-term sustainability risks for space activities. Collision events involving large objects generate thousands of fragments that threaten other satellites, potentially triggering chain reactions that could render certain orbital regimes unusable for generations. The 2009 collision between Iridium 33 and Cosmos 2251 demonstrated this risk, </w:t>
      </w:r>
      <w:r w:rsidRPr="003F2A7B">
        <w:rPr>
          <w:rFonts w:ascii="Times New Roman" w:hAnsi="Times New Roman" w:cs="Times New Roman"/>
          <w:sz w:val="24"/>
          <w:szCs w:val="24"/>
          <w:shd w:val="clear" w:color="auto" w:fill="FFFFFF"/>
        </w:rPr>
        <w:lastRenderedPageBreak/>
        <w:t>generating over 2,000 trackable debris fragments that continue to threaten operational satellites (</w:t>
      </w:r>
      <w:r w:rsidR="005C2B7D" w:rsidRPr="003F2A7B">
        <w:rPr>
          <w:rFonts w:ascii="Times New Roman" w:hAnsi="Times New Roman" w:cs="Times New Roman"/>
          <w:sz w:val="24"/>
          <w:szCs w:val="24"/>
          <w:shd w:val="clear" w:color="auto" w:fill="FFFFFF"/>
        </w:rPr>
        <w:t>Lieu</w:t>
      </w:r>
      <w:r w:rsidRPr="003F2A7B">
        <w:rPr>
          <w:rFonts w:ascii="Times New Roman" w:hAnsi="Times New Roman" w:cs="Times New Roman"/>
          <w:sz w:val="24"/>
          <w:szCs w:val="24"/>
          <w:shd w:val="clear" w:color="auto" w:fill="FFFFFF"/>
        </w:rPr>
        <w:t xml:space="preserve"> &amp; Johnson, 2020).</w:t>
      </w:r>
    </w:p>
    <w:p w:rsidR="00CD0D34" w:rsidRPr="003F2A7B" w:rsidRDefault="00CD0D34"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 xml:space="preserve">Space Traffic Management (STM) and Space Situational Awareness (SSA) capabilities are evolving to address collision risks through tracking, prediction, and avoidance maneuvers. Ground-based radar and optical systems track debris objects, with collision probability assessments enabling satellite operators to execute avoidance maneuvers when conjunction risks exceed acceptable thresholds. However, tracking limitations for small debris objects and the resource requirements for frequent </w:t>
      </w:r>
      <w:r w:rsidR="005C2B7D" w:rsidRPr="003F2A7B">
        <w:rPr>
          <w:rFonts w:ascii="Times New Roman" w:hAnsi="Times New Roman" w:cs="Times New Roman"/>
          <w:sz w:val="24"/>
          <w:szCs w:val="24"/>
          <w:shd w:val="clear" w:color="auto" w:fill="FFFFFF"/>
        </w:rPr>
        <w:t>manoeuvring</w:t>
      </w:r>
      <w:r w:rsidRPr="003F2A7B">
        <w:rPr>
          <w:rFonts w:ascii="Times New Roman" w:hAnsi="Times New Roman" w:cs="Times New Roman"/>
          <w:sz w:val="24"/>
          <w:szCs w:val="24"/>
          <w:shd w:val="clear" w:color="auto" w:fill="FFFFFF"/>
        </w:rPr>
        <w:t xml:space="preserve"> present ongoing challenges, particularly for large constellations where hundreds of satellites may require simultaneous monitoring (Sharma et al., 2020).</w:t>
      </w:r>
    </w:p>
    <w:p w:rsidR="00CD0D34" w:rsidRPr="003F2A7B" w:rsidRDefault="00CD0D34" w:rsidP="002A658F">
      <w:pPr>
        <w:shd w:val="clear" w:color="auto" w:fill="FFFFFF"/>
        <w:spacing w:line="360" w:lineRule="auto"/>
        <w:textAlignment w:val="baseline"/>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Mitigation guidelines established by the Inter-Agency Space Debris Coordination Committee (IADC) and incorporated into national regulations mandate post-mission disposal of satellites within 25 years of mission completion, preferably through controlled atmospheric re-entry. Design for demise principles ensure satellite components burn up completely during re-entry, minimizing ground casualty risks. Active debris removal technologies, including robotic capture and deorbiting missions, are under development to address existing debris populations, though economic and legal challenges</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complicate implementation (Radtke et al., 2021).</w:t>
      </w:r>
    </w:p>
    <w:p w:rsidR="00CD0D34" w:rsidRPr="003F2A7B" w:rsidRDefault="00CD0D34" w:rsidP="002A658F">
      <w:pPr>
        <w:shd w:val="clear" w:color="auto" w:fill="FFFFFF"/>
        <w:spacing w:line="360" w:lineRule="auto"/>
        <w:textAlignment w:val="baseline"/>
        <w:rPr>
          <w:rFonts w:ascii="Times New Roman" w:hAnsi="Times New Roman" w:cs="Times New Roman"/>
          <w:sz w:val="24"/>
          <w:szCs w:val="24"/>
          <w:shd w:val="clear" w:color="auto" w:fill="FFFFFF"/>
          <w:lang w:val="en-US"/>
        </w:rPr>
      </w:pPr>
    </w:p>
    <w:p w:rsidR="00227BF0" w:rsidRPr="003F2A7B" w:rsidRDefault="00CF7011"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r w:rsidRPr="003F2A7B">
        <w:rPr>
          <w:rFonts w:ascii="Times New Roman" w:hAnsi="Times New Roman" w:cs="Times New Roman"/>
          <w:noProof/>
          <w:sz w:val="24"/>
          <w:szCs w:val="24"/>
          <w:lang w:val="en-US"/>
        </w:rPr>
        <w:t xml:space="preserve"> </w:t>
      </w:r>
      <w:r w:rsidR="00227BF0" w:rsidRPr="003F2A7B">
        <w:rPr>
          <w:rFonts w:ascii="Times New Roman" w:eastAsia="Times New Roman" w:hAnsi="Times New Roman" w:cs="Times New Roman"/>
          <w:sz w:val="24"/>
          <w:szCs w:val="24"/>
          <w:lang w:val="en-US" w:eastAsia="en-GH"/>
        </w:rPr>
        <w:tab/>
      </w:r>
    </w:p>
    <w:p w:rsidR="0098756B" w:rsidRPr="003F2A7B" w:rsidRDefault="006C38EF"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noProof/>
          <w:sz w:val="24"/>
          <w:szCs w:val="24"/>
          <w:shd w:val="clear" w:color="auto" w:fill="FFFFFF"/>
          <w:lang w:val="en-US"/>
        </w:rPr>
        <w:drawing>
          <wp:anchor distT="0" distB="0" distL="114300" distR="114300" simplePos="0" relativeHeight="251666432" behindDoc="0" locked="0" layoutInCell="1" allowOverlap="1">
            <wp:simplePos x="0" y="0"/>
            <wp:positionH relativeFrom="column">
              <wp:posOffset>3199765</wp:posOffset>
            </wp:positionH>
            <wp:positionV relativeFrom="paragraph">
              <wp:posOffset>299914</wp:posOffset>
            </wp:positionV>
            <wp:extent cx="2743200" cy="2512060"/>
            <wp:effectExtent l="0" t="0" r="0" b="2540"/>
            <wp:wrapNone/>
            <wp:docPr id="5" name="Picture 5" descr="C:\Users\Henry Asiedu Amoah\AppData\Local\Microsoft\Windows\INetCache\Content.MSO\610731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nry Asiedu Amoah\AppData\Local\Microsoft\Windows\INetCache\Content.MSO\61073142.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2512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2A7B">
        <w:rPr>
          <w:rFonts w:ascii="Times New Roman" w:hAnsi="Times New Roman" w:cs="Times New Roman"/>
          <w:noProof/>
          <w:sz w:val="24"/>
          <w:szCs w:val="24"/>
        </w:rPr>
        <w:drawing>
          <wp:anchor distT="0" distB="0" distL="114300" distR="114300" simplePos="0" relativeHeight="251667456" behindDoc="0" locked="0" layoutInCell="1" allowOverlap="1">
            <wp:simplePos x="0" y="0"/>
            <wp:positionH relativeFrom="column">
              <wp:posOffset>-67945</wp:posOffset>
            </wp:positionH>
            <wp:positionV relativeFrom="paragraph">
              <wp:posOffset>294474</wp:posOffset>
            </wp:positionV>
            <wp:extent cx="2814762" cy="2487930"/>
            <wp:effectExtent l="0" t="0" r="5080" b="7620"/>
            <wp:wrapNone/>
            <wp:docPr id="11" name="Picture 11" descr="NASA readies sensor to study orbital deb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SA readies sensor to study orbital debri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4762"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15900" w:rsidRPr="003F2A7B" w:rsidRDefault="00D15900" w:rsidP="002A658F">
      <w:pPr>
        <w:spacing w:line="360" w:lineRule="auto"/>
        <w:rPr>
          <w:rFonts w:ascii="Times New Roman" w:hAnsi="Times New Roman" w:cs="Times New Roman"/>
          <w:sz w:val="24"/>
          <w:szCs w:val="24"/>
          <w:shd w:val="clear" w:color="auto" w:fill="FFFFFF"/>
          <w:lang w:val="en-US"/>
        </w:rPr>
      </w:pPr>
    </w:p>
    <w:p w:rsidR="00D15900" w:rsidRPr="003F2A7B" w:rsidRDefault="00D15900" w:rsidP="002A658F">
      <w:pPr>
        <w:spacing w:line="360" w:lineRule="auto"/>
        <w:rPr>
          <w:rFonts w:ascii="Times New Roman" w:hAnsi="Times New Roman" w:cs="Times New Roman"/>
          <w:sz w:val="24"/>
          <w:szCs w:val="24"/>
          <w:shd w:val="clear" w:color="auto" w:fill="FFFFFF"/>
          <w:lang w:val="en-US"/>
        </w:rPr>
      </w:pPr>
    </w:p>
    <w:p w:rsidR="00D15900" w:rsidRPr="003F2A7B" w:rsidRDefault="00D15900" w:rsidP="002A658F">
      <w:pPr>
        <w:spacing w:line="360" w:lineRule="auto"/>
        <w:rPr>
          <w:rFonts w:ascii="Times New Roman" w:hAnsi="Times New Roman" w:cs="Times New Roman"/>
          <w:sz w:val="24"/>
          <w:szCs w:val="24"/>
          <w:shd w:val="clear" w:color="auto" w:fill="FFFFFF"/>
          <w:lang w:val="en-US"/>
        </w:rPr>
      </w:pPr>
    </w:p>
    <w:p w:rsidR="00D15900" w:rsidRPr="003F2A7B" w:rsidRDefault="00D15900" w:rsidP="002A658F">
      <w:pPr>
        <w:spacing w:line="360" w:lineRule="auto"/>
        <w:rPr>
          <w:rFonts w:ascii="Times New Roman" w:hAnsi="Times New Roman" w:cs="Times New Roman"/>
          <w:sz w:val="24"/>
          <w:szCs w:val="24"/>
          <w:shd w:val="clear" w:color="auto" w:fill="FFFFFF"/>
          <w:lang w:val="en-US"/>
        </w:rPr>
      </w:pPr>
    </w:p>
    <w:p w:rsidR="00D15900" w:rsidRPr="003F2A7B" w:rsidRDefault="00D15900" w:rsidP="002A658F">
      <w:pPr>
        <w:spacing w:line="360" w:lineRule="auto"/>
        <w:rPr>
          <w:rFonts w:ascii="Times New Roman" w:hAnsi="Times New Roman" w:cs="Times New Roman"/>
          <w:sz w:val="24"/>
          <w:szCs w:val="24"/>
          <w:shd w:val="clear" w:color="auto" w:fill="FFFFFF"/>
          <w:lang w:val="en-US"/>
        </w:rPr>
      </w:pPr>
    </w:p>
    <w:p w:rsidR="00D15900" w:rsidRPr="003F2A7B" w:rsidRDefault="00D15900" w:rsidP="002A658F">
      <w:pPr>
        <w:spacing w:line="360" w:lineRule="auto"/>
        <w:rPr>
          <w:rFonts w:ascii="Times New Roman" w:hAnsi="Times New Roman" w:cs="Times New Roman"/>
          <w:sz w:val="24"/>
          <w:szCs w:val="24"/>
          <w:shd w:val="clear" w:color="auto" w:fill="FFFFFF"/>
          <w:lang w:val="en-US"/>
        </w:rPr>
      </w:pPr>
    </w:p>
    <w:p w:rsidR="00F169A7" w:rsidRPr="003F2A7B" w:rsidRDefault="00F169A7" w:rsidP="002A658F">
      <w:pPr>
        <w:spacing w:line="360" w:lineRule="auto"/>
        <w:rPr>
          <w:rFonts w:ascii="Times New Roman" w:hAnsi="Times New Roman" w:cs="Times New Roman"/>
          <w:sz w:val="24"/>
          <w:szCs w:val="24"/>
          <w:shd w:val="clear" w:color="auto" w:fill="FFFFFF"/>
          <w:lang w:val="en-US"/>
        </w:rPr>
      </w:pPr>
    </w:p>
    <w:p w:rsidR="00342485" w:rsidRPr="003F2A7B" w:rsidRDefault="00342485" w:rsidP="002A658F">
      <w:pPr>
        <w:spacing w:line="360" w:lineRule="auto"/>
        <w:rPr>
          <w:rFonts w:ascii="Times New Roman" w:hAnsi="Times New Roman" w:cs="Times New Roman"/>
          <w:sz w:val="24"/>
          <w:szCs w:val="24"/>
          <w:shd w:val="clear" w:color="auto" w:fill="FFFFFF"/>
          <w:lang w:val="en-US"/>
        </w:rPr>
      </w:pPr>
    </w:p>
    <w:p w:rsidR="00342485" w:rsidRPr="003F2A7B" w:rsidRDefault="00F77FFE"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noProof/>
          <w:sz w:val="24"/>
          <w:szCs w:val="24"/>
          <w:shd w:val="clear" w:color="auto" w:fill="FFFFFF"/>
          <w:lang w:val="en-US"/>
        </w:rPr>
        <mc:AlternateContent>
          <mc:Choice Requires="wps">
            <w:drawing>
              <wp:anchor distT="45720" distB="45720" distL="114300" distR="114300" simplePos="0" relativeHeight="251697152" behindDoc="0" locked="0" layoutInCell="1" allowOverlap="1">
                <wp:simplePos x="0" y="0"/>
                <wp:positionH relativeFrom="column">
                  <wp:posOffset>2646818</wp:posOffset>
                </wp:positionH>
                <wp:positionV relativeFrom="paragraph">
                  <wp:posOffset>39756</wp:posOffset>
                </wp:positionV>
                <wp:extent cx="2360930" cy="1404620"/>
                <wp:effectExtent l="0" t="0" r="9525"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F77FFE" w:rsidRPr="00F77FFE" w:rsidRDefault="00F77FFE">
                            <w:pPr>
                              <w:rPr>
                                <w:lang w:val="en-US"/>
                              </w:rPr>
                            </w:pPr>
                            <w:r>
                              <w:rPr>
                                <w:lang w:val="en-US"/>
                              </w:rPr>
                              <w:t>Figure 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0" type="#_x0000_t202" style="position:absolute;margin-left:208.4pt;margin-top:3.15pt;width:185.9pt;height:110.6pt;z-index:2516971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" stroked="f">
                <v:textbox style="mso-fit-shape-to-text:t">
                  <w:txbxContent>
                    <w:p w:rsidR="00F77FFE" w:rsidRPr="00F77FFE" w:rsidRDefault="00F77FFE">
                      <w:pPr>
                        <w:rPr>
                          <w:lang w:val="en-US"/>
                        </w:rPr>
                      </w:pPr>
                      <w:r>
                        <w:rPr>
                          <w:lang w:val="en-US"/>
                        </w:rPr>
                        <w:t>Figure 5</w:t>
                      </w:r>
                    </w:p>
                  </w:txbxContent>
                </v:textbox>
              </v:shape>
            </w:pict>
          </mc:Fallback>
        </mc:AlternateContent>
      </w:r>
    </w:p>
    <w:p w:rsidR="00342485" w:rsidRPr="003F2A7B" w:rsidRDefault="00342485" w:rsidP="002A658F">
      <w:pPr>
        <w:spacing w:line="360" w:lineRule="auto"/>
        <w:rPr>
          <w:rFonts w:ascii="Times New Roman" w:hAnsi="Times New Roman" w:cs="Times New Roman"/>
          <w:sz w:val="24"/>
          <w:szCs w:val="24"/>
          <w:shd w:val="clear" w:color="auto" w:fill="FFFFFF"/>
          <w:lang w:val="en-US"/>
        </w:rPr>
      </w:pPr>
    </w:p>
    <w:p w:rsidR="00D15900" w:rsidRPr="003F2A7B" w:rsidRDefault="00D1590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lastRenderedPageBreak/>
        <w:t>5.4 Cybersecurity Threats and Vulnerabilities</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Satellite communication systems face evolving cybersecurity threats that exploit the unique characteristics of space-based infrastructure. The broadcast nature of satellite transmission enables signal interception by anyone within the coverage footprint with appropriate equipment, necessitating encryption and authentication mechanisms to protect confidentiality. Traditional satellite systems relied on proprietary waveforms and hardware security through obscurity, but modern IP-based architectures and software-defined radios expose vulnerabilities similar to terrestrial networks (Saini et al., 2021).</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Ground segment infrastructure, including telemetry, tracking, and command (TT&amp;C) systems, represents critical attack vectors for satellite operations. Compromise of ground control systems could enable adversaries to manipulate satellite operations, disrupt services, or cause permanent damage through excessive maneuvering or power system overloading. The Stuxnet malware incident</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demonstrated the potential for sophisticated cyber-physical attacks on industrial control systems, with satellite ground infrastructure presenting similar vulnerabilities that could have cascading effects across dependent services (Falco, 2020).</w:t>
      </w:r>
    </w:p>
    <w:p w:rsidR="00D15900" w:rsidRPr="003F2A7B" w:rsidRDefault="00D15900"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Supply chain vulnerabilities affect satellite systems through compromised components or malicious software insertion during manufacturing and integration processes. The complex international supply chains for satellite components create multiple opportunities for adversaries to introduce backdoors</w:t>
      </w:r>
      <w:r w:rsidRPr="003F2A7B">
        <w:rPr>
          <w:rFonts w:ascii="Times New Roman" w:hAnsi="Times New Roman" w:cs="Times New Roman"/>
          <w:sz w:val="24"/>
          <w:szCs w:val="24"/>
          <w:shd w:val="clear" w:color="auto" w:fill="FFFFFF"/>
          <w:lang w:val="en-US"/>
        </w:rPr>
        <w:t xml:space="preserve"> </w:t>
      </w:r>
      <w:r w:rsidRPr="003F2A7B">
        <w:rPr>
          <w:rFonts w:ascii="Times New Roman" w:eastAsia="Times New Roman" w:hAnsi="Times New Roman" w:cs="Times New Roman"/>
          <w:sz w:val="24"/>
          <w:szCs w:val="24"/>
          <w:lang w:eastAsia="en-GH"/>
        </w:rPr>
        <w:t>or vulnerabilities that persist throughout operational lifespans. Hardware Trojans and counterfeit components represent particular concerns for critical infrastructure satellites where national security implications exist (Mitchell &amp; Ingalsbe, 2020).</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Interference and jamming attacks target satellite availability through deliberate electromagnetic interference, ranging from unsophisticated brute-force jamming to advanced spoofing attacks that deceive receivers with false signals. GPS spoofing incidents have demonstrated the vulnerability of</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navigation systems to sophisticated interference, with similar techniques applicable to communication satellites. Anti-jam techniques including spread spectrum waveforms, adaptive nulling antennas, and authentication protocols provide mitigation, though at increased system complexity and cost (Dempsey, 2021).</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Space-based cyber threats extend to the satellites themselves, with potential for adversaries to exploit vulnerabilities in onboard software or inter-satellite communication links. As satellites incorporate</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 xml:space="preserve">increasing computational capabilities and autonomous operations, the attack surface expands correspondingly. Secure boot mechanisms, encrypted firmware updates, and hardware </w:t>
      </w:r>
      <w:r w:rsidRPr="003F2A7B">
        <w:rPr>
          <w:rFonts w:ascii="Times New Roman" w:hAnsi="Times New Roman" w:cs="Times New Roman"/>
          <w:sz w:val="24"/>
          <w:szCs w:val="24"/>
          <w:shd w:val="clear" w:color="auto" w:fill="FFFFFF"/>
        </w:rPr>
        <w:lastRenderedPageBreak/>
        <w:t>security modules provide foundational protections, though resource constraints in space environments limit implementation of comprehensive security architectures (Saini et al., 2021).</w:t>
      </w:r>
    </w:p>
    <w:p w:rsidR="00D15900" w:rsidRPr="003F2A7B" w:rsidRDefault="00D15900" w:rsidP="002A658F">
      <w:pPr>
        <w:spacing w:line="360" w:lineRule="auto"/>
        <w:rPr>
          <w:rFonts w:ascii="Times New Roman" w:hAnsi="Times New Roman" w:cs="Times New Roman"/>
          <w:sz w:val="24"/>
          <w:szCs w:val="24"/>
          <w:shd w:val="clear" w:color="auto" w:fill="FFFFFF"/>
          <w:lang w:val="en-US"/>
        </w:rPr>
      </w:pPr>
    </w:p>
    <w:p w:rsidR="00F1720E" w:rsidRPr="003F2A7B" w:rsidRDefault="00F1720E" w:rsidP="002A658F">
      <w:pPr>
        <w:spacing w:line="360" w:lineRule="auto"/>
        <w:rPr>
          <w:rFonts w:ascii="Times New Roman" w:hAnsi="Times New Roman" w:cs="Times New Roman"/>
          <w:sz w:val="24"/>
          <w:szCs w:val="24"/>
          <w:shd w:val="clear" w:color="auto" w:fill="FFFFFF"/>
          <w:lang w:val="en-US"/>
        </w:rPr>
      </w:pPr>
    </w:p>
    <w:p w:rsidR="00D15900" w:rsidRPr="003F2A7B" w:rsidRDefault="00D1590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6. Future Trends and Emerging Technologies</w:t>
      </w:r>
    </w:p>
    <w:p w:rsidR="00D15900" w:rsidRPr="003F2A7B" w:rsidRDefault="00D15900"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6.1 Integration with 6G Networks</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evolution toward sixth-generation (6G) wireless networks envisions ubiquitous connectivity</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integrating terrestrial, aerial, and space-based infrastructure into seamless communication ecosystems. 3GPP Release 17 and subsequent specifications formalize Non-Terrestrial Networks (NTN) integration, enabling satellite systems to operate as native components of cellular networks rather than separate overlay systems. This integration supports direct smartphone connectivity to satellites, eliminating specialized terminal requirements and expanding addressable markets to billions of existing devices (Guidotti et al., 2021).</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 xml:space="preserve">The 6G vision emphasizes extreme capacity (terabits per second), ultra-low latency (sub-millisecond), and massive connectivity (millions of devices per square </w:t>
      </w:r>
      <w:r w:rsidR="00EA7120" w:rsidRPr="003F2A7B">
        <w:rPr>
          <w:rFonts w:ascii="Times New Roman" w:hAnsi="Times New Roman" w:cs="Times New Roman"/>
          <w:sz w:val="24"/>
          <w:szCs w:val="24"/>
          <w:shd w:val="clear" w:color="auto" w:fill="FFFFFF"/>
        </w:rPr>
        <w:t>kilometre</w:t>
      </w:r>
      <w:r w:rsidRPr="003F2A7B">
        <w:rPr>
          <w:rFonts w:ascii="Times New Roman" w:hAnsi="Times New Roman" w:cs="Times New Roman"/>
          <w:sz w:val="24"/>
          <w:szCs w:val="24"/>
          <w:shd w:val="clear" w:color="auto" w:fill="FFFFFF"/>
        </w:rPr>
        <w:t>) that will require heterogeneous network architectures combining multiple access technologies. Satellite systems will provide coverage extension, service continuity, and broadcast/multicast capabilities complementing dense terrestrial deployments. Multi-layer networks combining LEO, MEO, GEO, and High-Altitude Platform Systems (HAPS) will enable dynamic optimization of service delivery based on application requirements and network conditions (Kodheli et al., 2021).</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Intelligent Reflecting Surfaces (IRS) and Reconfigurable Intelligent Surfaces (RIS) represent emerging technologies that could enhance satellite communication by creating controllable electromagnetic environments. These surfaces, comprising arrays of passive reflecting elements, can dynamically manipulate signal propagation to improve coverage, reduce interference, and enhance security. Integration of IRS with satellite systems could enable focused coverage in urban canyons or indoor environments where direct satellite visibility is limited, extending satellite service reach (Wu et al.,</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2020).</w:t>
      </w:r>
    </w:p>
    <w:p w:rsidR="00D15900" w:rsidRPr="003F2A7B" w:rsidRDefault="00D1590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 xml:space="preserve">Terahertz (THz) communication and optical wireless links promise to expand available spectrum for future satellite systems beyond current radio frequency limitations. Free Space Optical (FSO) communication utilizing laser transmission offers virtually unlimited bandwidth potential and inherent security through narrow beam divergence, though atmospheric turbulence and cloud coverage present operational challenges. Hybrid radio-frequency/optical systems combining the </w:t>
      </w:r>
      <w:r w:rsidRPr="003F2A7B">
        <w:rPr>
          <w:rFonts w:ascii="Times New Roman" w:hAnsi="Times New Roman" w:cs="Times New Roman"/>
          <w:sz w:val="24"/>
          <w:szCs w:val="24"/>
          <w:shd w:val="clear" w:color="auto" w:fill="FFFFFF"/>
        </w:rPr>
        <w:lastRenderedPageBreak/>
        <w:t>reliability of RF with the capacity of optical links represent promising architectures for next-generation high-throughput satellites (Khalighi &amp; Uysal, 2020).</w:t>
      </w:r>
    </w:p>
    <w:p w:rsidR="00814013" w:rsidRPr="003F2A7B" w:rsidRDefault="00814013" w:rsidP="002A658F">
      <w:pPr>
        <w:spacing w:line="360" w:lineRule="auto"/>
        <w:rPr>
          <w:rFonts w:ascii="Times New Roman" w:hAnsi="Times New Roman" w:cs="Times New Roman"/>
          <w:sz w:val="24"/>
          <w:szCs w:val="24"/>
          <w:shd w:val="clear" w:color="auto" w:fill="FFFFFF"/>
        </w:rPr>
      </w:pPr>
    </w:p>
    <w:p w:rsidR="00814013" w:rsidRPr="003F2A7B" w:rsidRDefault="00CD41B2" w:rsidP="00CD41B2">
      <w:pPr>
        <w:tabs>
          <w:tab w:val="left" w:pos="8127"/>
        </w:tabs>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r>
    </w:p>
    <w:p w:rsidR="00814013" w:rsidRPr="003F2A7B" w:rsidRDefault="00F91338"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noProof/>
          <w:sz w:val="24"/>
          <w:szCs w:val="24"/>
        </w:rPr>
        <w:drawing>
          <wp:anchor distT="0" distB="0" distL="114300" distR="114300" simplePos="0" relativeHeight="251679744" behindDoc="0" locked="0" layoutInCell="1" allowOverlap="1">
            <wp:simplePos x="0" y="0"/>
            <wp:positionH relativeFrom="column">
              <wp:posOffset>3310614</wp:posOffset>
            </wp:positionH>
            <wp:positionV relativeFrom="paragraph">
              <wp:posOffset>265430</wp:posOffset>
            </wp:positionV>
            <wp:extent cx="3379470" cy="2393342"/>
            <wp:effectExtent l="0" t="0" r="0" b="6985"/>
            <wp:wrapNone/>
            <wp:docPr id="24" name="Picture 24" descr="6G Technology | Anritsu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6G Technology | Anritsu Europ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79470" cy="2393342"/>
                    </a:xfrm>
                    <a:prstGeom prst="rect">
                      <a:avLst/>
                    </a:prstGeom>
                    <a:noFill/>
                    <a:ln>
                      <a:noFill/>
                    </a:ln>
                  </pic:spPr>
                </pic:pic>
              </a:graphicData>
            </a:graphic>
            <wp14:sizeRelV relativeFrom="margin">
              <wp14:pctHeight>0</wp14:pctHeight>
            </wp14:sizeRelV>
          </wp:anchor>
        </w:drawing>
      </w:r>
      <w:r w:rsidRPr="003F2A7B">
        <w:rPr>
          <w:rFonts w:ascii="Times New Roman" w:hAnsi="Times New Roman" w:cs="Times New Roman"/>
          <w:noProof/>
          <w:sz w:val="24"/>
          <w:szCs w:val="24"/>
        </w:rPr>
        <w:drawing>
          <wp:anchor distT="0" distB="0" distL="114300" distR="114300" simplePos="0" relativeHeight="251680768" behindDoc="0" locked="0" layoutInCell="1" allowOverlap="1">
            <wp:simplePos x="0" y="0"/>
            <wp:positionH relativeFrom="column">
              <wp:posOffset>11568</wp:posOffset>
            </wp:positionH>
            <wp:positionV relativeFrom="paragraph">
              <wp:posOffset>264160</wp:posOffset>
            </wp:positionV>
            <wp:extent cx="3194685" cy="2353393"/>
            <wp:effectExtent l="0" t="0" r="5715" b="8890"/>
            <wp:wrapNone/>
            <wp:docPr id="23" name="Picture 23" descr="Satellite Integration Accelerating 5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atellite Integration Accelerating 5G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94685" cy="235339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14013" w:rsidRPr="003F2A7B" w:rsidRDefault="00814013" w:rsidP="002A658F">
      <w:pPr>
        <w:spacing w:line="360" w:lineRule="auto"/>
        <w:rPr>
          <w:rFonts w:ascii="Times New Roman" w:hAnsi="Times New Roman" w:cs="Times New Roman"/>
          <w:sz w:val="24"/>
          <w:szCs w:val="24"/>
          <w:shd w:val="clear" w:color="auto" w:fill="FFFFFF"/>
        </w:rPr>
      </w:pPr>
    </w:p>
    <w:p w:rsidR="009628A9" w:rsidRPr="003F2A7B" w:rsidRDefault="009628A9" w:rsidP="002A658F">
      <w:pPr>
        <w:spacing w:line="360" w:lineRule="auto"/>
        <w:rPr>
          <w:rFonts w:ascii="Times New Roman" w:hAnsi="Times New Roman" w:cs="Times New Roman"/>
          <w:sz w:val="24"/>
          <w:szCs w:val="24"/>
          <w:shd w:val="clear" w:color="auto" w:fill="FFFFFF"/>
          <w:lang w:val="en-US"/>
        </w:rPr>
      </w:pPr>
    </w:p>
    <w:p w:rsidR="00EA59EF" w:rsidRPr="003F2A7B" w:rsidRDefault="00EA59EF" w:rsidP="002A658F">
      <w:pPr>
        <w:spacing w:line="360" w:lineRule="auto"/>
        <w:rPr>
          <w:rFonts w:ascii="Times New Roman" w:hAnsi="Times New Roman" w:cs="Times New Roman"/>
          <w:sz w:val="24"/>
          <w:szCs w:val="24"/>
          <w:shd w:val="clear" w:color="auto" w:fill="FFFFFF"/>
          <w:lang w:val="en-US"/>
        </w:rPr>
      </w:pPr>
    </w:p>
    <w:p w:rsidR="00EA59EF" w:rsidRPr="003F2A7B" w:rsidRDefault="00EA59EF" w:rsidP="002A658F">
      <w:pPr>
        <w:spacing w:line="360" w:lineRule="auto"/>
        <w:rPr>
          <w:rFonts w:ascii="Times New Roman" w:hAnsi="Times New Roman" w:cs="Times New Roman"/>
          <w:sz w:val="24"/>
          <w:szCs w:val="24"/>
          <w:shd w:val="clear" w:color="auto" w:fill="FFFFFF"/>
          <w:lang w:val="en-US"/>
        </w:rPr>
      </w:pPr>
    </w:p>
    <w:p w:rsidR="00EA59EF" w:rsidRPr="003F2A7B" w:rsidRDefault="00EA59EF" w:rsidP="002A658F">
      <w:pPr>
        <w:spacing w:line="360" w:lineRule="auto"/>
        <w:rPr>
          <w:rFonts w:ascii="Times New Roman" w:hAnsi="Times New Roman" w:cs="Times New Roman"/>
          <w:sz w:val="24"/>
          <w:szCs w:val="24"/>
          <w:shd w:val="clear" w:color="auto" w:fill="FFFFFF"/>
          <w:lang w:val="en-US"/>
        </w:rPr>
      </w:pPr>
    </w:p>
    <w:p w:rsidR="00EA59EF" w:rsidRPr="003F2A7B" w:rsidRDefault="00EA59EF" w:rsidP="002A658F">
      <w:pPr>
        <w:spacing w:line="360" w:lineRule="auto"/>
        <w:rPr>
          <w:rFonts w:ascii="Times New Roman" w:hAnsi="Times New Roman" w:cs="Times New Roman"/>
          <w:sz w:val="24"/>
          <w:szCs w:val="24"/>
          <w:shd w:val="clear" w:color="auto" w:fill="FFFFFF"/>
          <w:lang w:val="en-US"/>
        </w:rPr>
      </w:pPr>
    </w:p>
    <w:p w:rsidR="00EA59EF" w:rsidRPr="003F2A7B" w:rsidRDefault="00335FFD"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noProof/>
          <w:sz w:val="24"/>
          <w:szCs w:val="24"/>
          <w:shd w:val="clear" w:color="auto" w:fill="FFFFFF"/>
          <w:lang w:val="en-US"/>
        </w:rPr>
        <mc:AlternateContent>
          <mc:Choice Requires="wps">
            <w:drawing>
              <wp:anchor distT="45720" distB="45720" distL="114300" distR="114300" simplePos="0" relativeHeight="251699200" behindDoc="0" locked="0" layoutInCell="1" allowOverlap="1">
                <wp:simplePos x="0" y="0"/>
                <wp:positionH relativeFrom="column">
                  <wp:posOffset>3010507</wp:posOffset>
                </wp:positionH>
                <wp:positionV relativeFrom="paragraph">
                  <wp:posOffset>161290</wp:posOffset>
                </wp:positionV>
                <wp:extent cx="2360930" cy="1404620"/>
                <wp:effectExtent l="0" t="0" r="9525"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335FFD" w:rsidRPr="00335FFD" w:rsidRDefault="00335FFD">
                            <w:pPr>
                              <w:rPr>
                                <w:lang w:val="en-US"/>
                              </w:rPr>
                            </w:pPr>
                            <w:r>
                              <w:rPr>
                                <w:lang w:val="en-US"/>
                              </w:rPr>
                              <w:t>Figure 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1" type="#_x0000_t202" style="position:absolute;margin-left:237.05pt;margin-top:12.7pt;width:185.9pt;height:110.6pt;z-index:251699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" stroked="f">
                <v:textbox style="mso-fit-shape-to-text:t">
                  <w:txbxContent>
                    <w:p w:rsidR="00335FFD" w:rsidRPr="00335FFD" w:rsidRDefault="00335FFD">
                      <w:pPr>
                        <w:rPr>
                          <w:lang w:val="en-US"/>
                        </w:rPr>
                      </w:pPr>
                      <w:r>
                        <w:rPr>
                          <w:lang w:val="en-US"/>
                        </w:rPr>
                        <w:t>Figure 6</w:t>
                      </w:r>
                    </w:p>
                  </w:txbxContent>
                </v:textbox>
              </v:shape>
            </w:pict>
          </mc:Fallback>
        </mc:AlternateContent>
      </w:r>
    </w:p>
    <w:p w:rsidR="0005554E" w:rsidRPr="003F2A7B" w:rsidRDefault="0005554E" w:rsidP="002A658F">
      <w:pPr>
        <w:spacing w:line="360" w:lineRule="auto"/>
        <w:rPr>
          <w:rFonts w:ascii="Times New Roman" w:hAnsi="Times New Roman" w:cs="Times New Roman"/>
          <w:sz w:val="24"/>
          <w:szCs w:val="24"/>
          <w:shd w:val="clear" w:color="auto" w:fill="FFFFFF"/>
          <w:lang w:val="en-US"/>
        </w:rPr>
      </w:pPr>
    </w:p>
    <w:p w:rsidR="009628A9" w:rsidRPr="003F2A7B" w:rsidRDefault="009628A9"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6.2 Artificial Intelligence and Autonomous Operations</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Artificial Intelligence (AI) and Machine Learning (ML) technologies are transforming satellite operations through autonomous decision-making capabilities reduce ground control requirements and enhance system responsiveness. Traditional satellite operations rely on extensive ground-based monitoring and command sequences, with human operators managing routine</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operations and anomaly responses. AI-enabled autonomous systems can perform fault detection, diagnosis, and recovery without ground intervention, reducing operational costs and improving response times for critical situations (Piazza et al., 2020).</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 xml:space="preserve">Predictive maintenance utilizing machine learning algorithms </w:t>
      </w:r>
      <w:r w:rsidR="002D56CD" w:rsidRPr="003F2A7B">
        <w:rPr>
          <w:rFonts w:ascii="Times New Roman" w:hAnsi="Times New Roman" w:cs="Times New Roman"/>
          <w:sz w:val="24"/>
          <w:szCs w:val="24"/>
          <w:shd w:val="clear" w:color="auto" w:fill="FFFFFF"/>
        </w:rPr>
        <w:t>analyses</w:t>
      </w:r>
      <w:r w:rsidRPr="003F2A7B">
        <w:rPr>
          <w:rFonts w:ascii="Times New Roman" w:hAnsi="Times New Roman" w:cs="Times New Roman"/>
          <w:sz w:val="24"/>
          <w:szCs w:val="24"/>
          <w:shd w:val="clear" w:color="auto" w:fill="FFFFFF"/>
        </w:rPr>
        <w:t xml:space="preserve"> telemetry data to identify degradation trends and predict component failures before they occur. This capability enables condition-based maintenance scheduling rather than fixed-interval replacements, optimizing</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component utilization and reducing mission risks. Neural network models trained on historical satellite data can recognize subtle anomaly signatures indicating impending failures, providing early warning for preventive actions (Zheng et al., 2021).</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 xml:space="preserve">Dynamic resource allocation represents another AI application domain, with reinforcement learning algorithms optimizing beam scheduling, power allocation, and frequency assignment in </w:t>
      </w:r>
      <w:r w:rsidRPr="003F2A7B">
        <w:rPr>
          <w:rFonts w:ascii="Times New Roman" w:hAnsi="Times New Roman" w:cs="Times New Roman"/>
          <w:sz w:val="24"/>
          <w:szCs w:val="24"/>
          <w:shd w:val="clear" w:color="auto" w:fill="FFFFFF"/>
        </w:rPr>
        <w:lastRenderedPageBreak/>
        <w:t>response to real-time traffic demands and channel conditions. These optimization problems involve complex</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trade-offs between competing objectives (coverage, capacity, fairness) across large solution spaces that exceed human optimization capabilities. AI systems can adapt to changing patterns more rapidly than rule-based approaches, improving spectral efficiency and user experience (Paradiso et al., 2020).</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Constellation management for large LEO systems presents coordination challenges that AI can address through distributed autonomous decision-making. Individual satellites equipped with AI capabilities can negotiate resource sharing, collision avoidance maneuvers, and inter-satellite routing</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decisions without centralized control, improving scalability and resilience. Swarm intelligence approaches inspired by biological systems enable emergent coordination behaviors that optimize collective performance without explicit programming of global objectives (Radtke et al., 2021).</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Natural Language Processing (NLP) and computer vision technologies enhance satellite data utilization by automating information extraction from imagery and communication intercepts. AI systems can process vast volumes of earth observation data to identify changes, anomalies, or</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features of interest, prioritizing data for human analyst review. Similarly, intelligent traffic analysis can optimize network routing and detect security threats in communication systems. These capabilities multiply the value derived from satellite infrastructure while reducing human analyst workload (Moreira et al., 2021).</w:t>
      </w:r>
    </w:p>
    <w:p w:rsidR="00116CB0" w:rsidRPr="003F2A7B" w:rsidRDefault="0009299B"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noProof/>
          <w:sz w:val="24"/>
          <w:szCs w:val="24"/>
        </w:rPr>
        <w:drawing>
          <wp:anchor distT="0" distB="0" distL="114300" distR="114300" simplePos="0" relativeHeight="251682816" behindDoc="0" locked="0" layoutInCell="1" allowOverlap="1">
            <wp:simplePos x="0" y="0"/>
            <wp:positionH relativeFrom="column">
              <wp:posOffset>3573339</wp:posOffset>
            </wp:positionH>
            <wp:positionV relativeFrom="paragraph">
              <wp:posOffset>301625</wp:posOffset>
            </wp:positionV>
            <wp:extent cx="2869611" cy="2146852"/>
            <wp:effectExtent l="0" t="0" r="6985" b="6350"/>
            <wp:wrapNone/>
            <wp:docPr id="29" name="Picture 29" descr="Autonomous Trajectory Optimisation for Intelligent Satellite Systems and  Space Traffic Management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utonomous Trajectory Optimisation for Intelligent Satellite Systems and  Space Traffic Management - ScienceDi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69611" cy="21468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2A7B">
        <w:rPr>
          <w:rFonts w:ascii="Times New Roman" w:hAnsi="Times New Roman" w:cs="Times New Roman"/>
          <w:noProof/>
          <w:sz w:val="24"/>
          <w:szCs w:val="24"/>
        </w:rPr>
        <w:drawing>
          <wp:anchor distT="0" distB="0" distL="114300" distR="114300" simplePos="0" relativeHeight="251681792" behindDoc="0" locked="0" layoutInCell="1" allowOverlap="1">
            <wp:simplePos x="0" y="0"/>
            <wp:positionH relativeFrom="column">
              <wp:posOffset>-76394</wp:posOffset>
            </wp:positionH>
            <wp:positionV relativeFrom="paragraph">
              <wp:posOffset>301625</wp:posOffset>
            </wp:positionV>
            <wp:extent cx="3260035" cy="2194560"/>
            <wp:effectExtent l="0" t="0" r="0" b="0"/>
            <wp:wrapNone/>
            <wp:docPr id="25" name="Picture 25" descr="Enhancing Satellite Intelligenc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nhancing Satellite Intelligence and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60035"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16CB0" w:rsidRPr="003F2A7B" w:rsidRDefault="00116CB0" w:rsidP="002A658F">
      <w:pPr>
        <w:spacing w:line="360" w:lineRule="auto"/>
        <w:rPr>
          <w:rFonts w:ascii="Times New Roman" w:hAnsi="Times New Roman" w:cs="Times New Roman"/>
          <w:sz w:val="24"/>
          <w:szCs w:val="24"/>
          <w:shd w:val="clear" w:color="auto" w:fill="FFFFFF"/>
        </w:rPr>
      </w:pPr>
    </w:p>
    <w:p w:rsidR="00116CB0" w:rsidRPr="003F2A7B" w:rsidRDefault="00116CB0" w:rsidP="00116CB0">
      <w:pPr>
        <w:tabs>
          <w:tab w:val="left" w:pos="7213"/>
        </w:tabs>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r>
      <w:r w:rsidRPr="003F2A7B">
        <w:rPr>
          <w:rFonts w:ascii="Times New Roman" w:hAnsi="Times New Roman" w:cs="Times New Roman"/>
          <w:noProof/>
          <w:sz w:val="24"/>
          <w:szCs w:val="24"/>
        </w:rPr>
        <mc:AlternateContent>
          <mc:Choice Requires="wps">
            <w:drawing>
              <wp:inline distT="0" distB="0" distL="0" distR="0">
                <wp:extent cx="302260" cy="302260"/>
                <wp:effectExtent l="0" t="0" r="0" b="0"/>
                <wp:docPr id="27" name="Rectangle 27" descr="Autonomous Trajectory Optimisation for Intelligent Satellite Systems and  Space Traffic Management - ScienceDi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CC135" id="Rectangle 27" o:spid="_x0000_s1026" alt="Autonomous Trajectory Optimisation for Intelligent Satellite Systems and  Space Traffic Management - ScienceDir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COqXcZAgMAADQGAAAOAAAAAAAAAAAAAAAAAC4CAABkcnMvZTJvRG9jLnhtbFBLAQItABQA&#10;BgAIAAAAIQACnVV42QAAAAMBAAAPAAAAAAAAAAAAAAAAAFwFAABkcnMvZG93bnJldi54bWxQSwUG&#10;AAAAAAQABADzAAAAYgYAAAAA&#10;" filled="f" stroked="f">
                <o:lock v:ext="edit" aspectratio="t"/>
                <w10:anchorlock/>
              </v:rect>
            </w:pict>
          </mc:Fallback>
        </mc:AlternateContent>
      </w:r>
      <w:r w:rsidRPr="003F2A7B">
        <w:rPr>
          <w:rFonts w:ascii="Times New Roman" w:hAnsi="Times New Roman" w:cs="Times New Roman"/>
          <w:sz w:val="24"/>
          <w:szCs w:val="24"/>
        </w:rPr>
        <w:t xml:space="preserve"> </w:t>
      </w:r>
      <w:r w:rsidRPr="003F2A7B">
        <w:rPr>
          <w:rFonts w:ascii="Times New Roman" w:hAnsi="Times New Roman" w:cs="Times New Roman"/>
          <w:noProof/>
          <w:sz w:val="24"/>
          <w:szCs w:val="24"/>
        </w:rPr>
        <mc:AlternateContent>
          <mc:Choice Requires="wps">
            <w:drawing>
              <wp:inline distT="0" distB="0" distL="0" distR="0">
                <wp:extent cx="302260" cy="302260"/>
                <wp:effectExtent l="0" t="0" r="0" b="0"/>
                <wp:docPr id="28" name="Rectangle 28" descr="Autonomous Trajectory Optimisation for Intelligent Satellite Systems and  Space Traffic Management - ScienceDi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C9805" id="Rectangle 28" o:spid="_x0000_s1026" alt="Autonomous Trajectory Optimisation for Intelligent Satellite Systems and  Space Traffic Management - ScienceDir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D98NHyAgMAADQGAAAOAAAAAAAAAAAAAAAAAC4CAABkcnMvZTJvRG9jLnhtbFBLAQItABQA&#10;BgAIAAAAIQACnVV42QAAAAMBAAAPAAAAAAAAAAAAAAAAAFwFAABkcnMvZG93bnJldi54bWxQSwUG&#10;AAAAAAQABADzAAAAYgYAAAAA&#10;" filled="f" stroked="f">
                <o:lock v:ext="edit" aspectratio="t"/>
                <w10:anchorlock/>
              </v:rect>
            </w:pict>
          </mc:Fallback>
        </mc:AlternateContent>
      </w:r>
    </w:p>
    <w:p w:rsidR="00116CB0" w:rsidRPr="003F2A7B" w:rsidRDefault="00116CB0" w:rsidP="00116CB0">
      <w:pPr>
        <w:tabs>
          <w:tab w:val="left" w:pos="7588"/>
        </w:tabs>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r>
      <w:r w:rsidRPr="003F2A7B">
        <w:rPr>
          <w:rFonts w:ascii="Times New Roman" w:hAnsi="Times New Roman" w:cs="Times New Roman"/>
          <w:noProof/>
          <w:sz w:val="24"/>
          <w:szCs w:val="24"/>
        </w:rPr>
        <mc:AlternateContent>
          <mc:Choice Requires="wps">
            <w:drawing>
              <wp:inline distT="0" distB="0" distL="0" distR="0">
                <wp:extent cx="302260" cy="302260"/>
                <wp:effectExtent l="0" t="0" r="0" b="0"/>
                <wp:docPr id="26" name="Rectangle 26" descr="Autonomous Trajectory Optimisation for Intelligent Satellite Systems and  Space Traffic Management - ScienceDi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2CC12" id="Rectangle 26" o:spid="_x0000_s1026" alt="Autonomous Trajectory Optimisation for Intelligent Satellite Systems and  Space Traffic Management - ScienceDir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" filled="f" stroked="f">
                <o:lock v:ext="edit" aspectratio="t"/>
                <w10:anchorlock/>
              </v:rect>
            </w:pict>
          </mc:Fallback>
        </mc:AlternateContent>
      </w:r>
    </w:p>
    <w:p w:rsidR="009628A9" w:rsidRPr="003F2A7B" w:rsidRDefault="009628A9" w:rsidP="002A658F">
      <w:pPr>
        <w:spacing w:line="360" w:lineRule="auto"/>
        <w:rPr>
          <w:rFonts w:ascii="Times New Roman" w:hAnsi="Times New Roman" w:cs="Times New Roman"/>
          <w:sz w:val="24"/>
          <w:szCs w:val="24"/>
          <w:shd w:val="clear" w:color="auto" w:fill="FFFFFF"/>
          <w:lang w:val="en-US"/>
        </w:rPr>
      </w:pPr>
    </w:p>
    <w:p w:rsidR="00EA59EF" w:rsidRPr="003F2A7B" w:rsidRDefault="00EA59EF" w:rsidP="002A658F">
      <w:pPr>
        <w:spacing w:line="360" w:lineRule="auto"/>
        <w:rPr>
          <w:rFonts w:ascii="Times New Roman" w:hAnsi="Times New Roman" w:cs="Times New Roman"/>
          <w:sz w:val="24"/>
          <w:szCs w:val="24"/>
          <w:shd w:val="clear" w:color="auto" w:fill="FFFFFF"/>
          <w:lang w:val="en-US"/>
        </w:rPr>
      </w:pPr>
    </w:p>
    <w:p w:rsidR="00116CB0" w:rsidRPr="003F2A7B" w:rsidRDefault="00116CB0" w:rsidP="002A658F">
      <w:pPr>
        <w:spacing w:line="360" w:lineRule="auto"/>
        <w:rPr>
          <w:rFonts w:ascii="Times New Roman" w:hAnsi="Times New Roman" w:cs="Times New Roman"/>
          <w:sz w:val="24"/>
          <w:szCs w:val="24"/>
          <w:shd w:val="clear" w:color="auto" w:fill="FFFFFF"/>
          <w:lang w:val="en-US"/>
        </w:rPr>
      </w:pPr>
    </w:p>
    <w:p w:rsidR="00275326" w:rsidRPr="003F2A7B" w:rsidRDefault="00275326" w:rsidP="002A658F">
      <w:pPr>
        <w:spacing w:line="360" w:lineRule="auto"/>
        <w:rPr>
          <w:rFonts w:ascii="Times New Roman" w:hAnsi="Times New Roman" w:cs="Times New Roman"/>
          <w:sz w:val="24"/>
          <w:szCs w:val="24"/>
          <w:shd w:val="clear" w:color="auto" w:fill="FFFFFF"/>
          <w:lang w:val="en-US"/>
        </w:rPr>
      </w:pPr>
    </w:p>
    <w:p w:rsidR="00457137" w:rsidRPr="003F2A7B" w:rsidRDefault="00457137" w:rsidP="002A658F">
      <w:pPr>
        <w:spacing w:line="360" w:lineRule="auto"/>
        <w:rPr>
          <w:rFonts w:ascii="Times New Roman" w:hAnsi="Times New Roman" w:cs="Times New Roman"/>
          <w:sz w:val="24"/>
          <w:szCs w:val="24"/>
          <w:shd w:val="clear" w:color="auto" w:fill="FFFFFF"/>
          <w:lang w:val="en-US"/>
        </w:rPr>
      </w:pPr>
    </w:p>
    <w:p w:rsidR="00457137" w:rsidRPr="003F2A7B" w:rsidRDefault="00457137" w:rsidP="002A658F">
      <w:pPr>
        <w:spacing w:line="360" w:lineRule="auto"/>
        <w:rPr>
          <w:rFonts w:ascii="Times New Roman" w:hAnsi="Times New Roman" w:cs="Times New Roman"/>
          <w:sz w:val="24"/>
          <w:szCs w:val="24"/>
          <w:shd w:val="clear" w:color="auto" w:fill="FFFFFF"/>
          <w:lang w:val="en-US"/>
        </w:rPr>
      </w:pPr>
    </w:p>
    <w:p w:rsidR="009628A9" w:rsidRPr="003F2A7B" w:rsidRDefault="009628A9"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lastRenderedPageBreak/>
        <w:t>6.3 Advanced Manufacturing and Launch Technologies</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Additive manufacturing (3D printing) technologies are revolutionizing satellite production by enabling complex geometries, integrated assemblies, and rapid prototyping capabilities. Traditional satellite manufacturing involves extensive machining, assembly, and testing processes spanning months or years. Additive manufacturing reduces part counts, assembly time, and material waste while enabling optimized designs for weight reduction and thermal management. Companies like Relativity Space are applying additive techniques to entire launch vehicles, with potential applications for satellite bus structures and propulsion systems (</w:t>
      </w:r>
      <w:r w:rsidR="00BF5F23" w:rsidRPr="003F2A7B">
        <w:rPr>
          <w:rFonts w:ascii="Times New Roman" w:hAnsi="Times New Roman" w:cs="Times New Roman"/>
          <w:sz w:val="24"/>
          <w:szCs w:val="24"/>
          <w:shd w:val="clear" w:color="auto" w:fill="FFFFFF"/>
        </w:rPr>
        <w:t>Mazuts</w:t>
      </w:r>
      <w:r w:rsidRPr="003F2A7B">
        <w:rPr>
          <w:rFonts w:ascii="Times New Roman" w:hAnsi="Times New Roman" w:cs="Times New Roman"/>
          <w:sz w:val="24"/>
          <w:szCs w:val="24"/>
          <w:shd w:val="clear" w:color="auto" w:fill="FFFFFF"/>
        </w:rPr>
        <w:t xml:space="preserve"> et al., 2021).</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Standardized small satellite platforms and modular architectures enable mass production techniques that dramatically reduce unit costs and production timelines. The CubeSat standard, initially developed for educational purposes, has evolved into a robust ecosystem supporting commercial applications with units costing tens of thousands rather than millions of dollars. Constellation operators leverage automotive-style production lines to manufacture hundreds of identical satellites, achieving economies of scale previously impossible in the space industry (Fossa et al., 2021).</w:t>
      </w:r>
    </w:p>
    <w:p w:rsidR="009628A9" w:rsidRPr="003F2A7B" w:rsidRDefault="009628A9"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Reusable launch vehicles, pioneered by SpaceX with the Falcon 9 and Falcon Heavy systems, have reduced launch costs by an order of magnitude compared to expendable rockets. The Starship system currently in development promises further cost reductions through full reusability and high launch cadence capabilities. Reduced launch costs enable constellation architectures with frequent replenishment, technology refresh cycles, and reduced satellite reliability requirements (since replacement is economically feasible), fundamentally altering satellite design trade-offs (Fitch Ratings,</w:t>
      </w:r>
      <w:r w:rsidRPr="003F2A7B">
        <w:rPr>
          <w:rFonts w:ascii="Times New Roman" w:hAnsi="Times New Roman" w:cs="Times New Roman"/>
          <w:sz w:val="24"/>
          <w:szCs w:val="24"/>
          <w:shd w:val="clear" w:color="auto" w:fill="FFFFFF"/>
          <w:lang w:val="en-US"/>
        </w:rPr>
        <w:t xml:space="preserve"> 2020).</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In-orbit servicing, assembly, and manufacturing (ISAM) capabilities represent emerging technologies that could extend satellite lifespans and enable new mission architectures. Robotic servicing missions can refuel satellites, replace failed components, or upgrade systems with new capabilities, reducing replacement costs and orbital debris generation. In-orbit assembly enables construction of structures too large for single-launch deployment, such as extremely large aperture antennas or space-based</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solar power systems. These capabilities transition space activities from disposable assets to sustainable infrastructure (Radtke et al., 2021).</w:t>
      </w:r>
    </w:p>
    <w:p w:rsidR="00275326" w:rsidRPr="003F2A7B" w:rsidRDefault="00275326" w:rsidP="002A658F">
      <w:pPr>
        <w:spacing w:line="360" w:lineRule="auto"/>
        <w:rPr>
          <w:rFonts w:ascii="Times New Roman" w:hAnsi="Times New Roman" w:cs="Times New Roman"/>
          <w:sz w:val="24"/>
          <w:szCs w:val="24"/>
          <w:shd w:val="clear" w:color="auto" w:fill="FFFFFF"/>
        </w:rPr>
      </w:pPr>
    </w:p>
    <w:p w:rsidR="003B2CE3" w:rsidRPr="003F2A7B" w:rsidRDefault="003B2CE3" w:rsidP="002A658F">
      <w:pPr>
        <w:spacing w:line="360" w:lineRule="auto"/>
        <w:rPr>
          <w:rFonts w:ascii="Times New Roman" w:hAnsi="Times New Roman" w:cs="Times New Roman"/>
          <w:sz w:val="24"/>
          <w:szCs w:val="24"/>
          <w:shd w:val="clear" w:color="auto" w:fill="FFFFFF"/>
        </w:rPr>
      </w:pPr>
    </w:p>
    <w:p w:rsidR="003B2CE3" w:rsidRPr="003F2A7B" w:rsidRDefault="00183260" w:rsidP="00183260">
      <w:pPr>
        <w:tabs>
          <w:tab w:val="left" w:pos="6524"/>
        </w:tabs>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rPr>
        <w:tab/>
      </w:r>
    </w:p>
    <w:p w:rsidR="00275326" w:rsidRPr="003F2A7B" w:rsidRDefault="00275326" w:rsidP="002A658F">
      <w:pPr>
        <w:spacing w:line="360" w:lineRule="auto"/>
        <w:rPr>
          <w:rFonts w:ascii="Times New Roman" w:hAnsi="Times New Roman" w:cs="Times New Roman"/>
          <w:sz w:val="24"/>
          <w:szCs w:val="24"/>
          <w:shd w:val="clear" w:color="auto" w:fill="FFFFFF"/>
        </w:rPr>
      </w:pPr>
    </w:p>
    <w:p w:rsidR="00275326" w:rsidRPr="003F2A7B" w:rsidRDefault="00C07BD8"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noProof/>
          <w:sz w:val="24"/>
          <w:szCs w:val="24"/>
        </w:rPr>
        <w:drawing>
          <wp:anchor distT="0" distB="0" distL="114300" distR="114300" simplePos="0" relativeHeight="251683840" behindDoc="0" locked="0" layoutInCell="1" allowOverlap="1">
            <wp:simplePos x="0" y="0"/>
            <wp:positionH relativeFrom="column">
              <wp:posOffset>3191510</wp:posOffset>
            </wp:positionH>
            <wp:positionV relativeFrom="paragraph">
              <wp:posOffset>115432</wp:posOffset>
            </wp:positionV>
            <wp:extent cx="3258820" cy="2265917"/>
            <wp:effectExtent l="0" t="0" r="0" b="1270"/>
            <wp:wrapNone/>
            <wp:docPr id="30" name="Picture 30" descr="aerospace ambi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erospace ambition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58820" cy="22659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2A7B">
        <w:rPr>
          <w:rFonts w:ascii="Times New Roman" w:hAnsi="Times New Roman" w:cs="Times New Roman"/>
          <w:noProof/>
          <w:sz w:val="24"/>
          <w:szCs w:val="24"/>
        </w:rPr>
        <w:drawing>
          <wp:anchor distT="0" distB="0" distL="114300" distR="114300" simplePos="0" relativeHeight="251684864" behindDoc="0" locked="0" layoutInCell="1" allowOverlap="1">
            <wp:simplePos x="0" y="0"/>
            <wp:positionH relativeFrom="column">
              <wp:posOffset>-361315</wp:posOffset>
            </wp:positionH>
            <wp:positionV relativeFrom="paragraph">
              <wp:posOffset>115874</wp:posOffset>
            </wp:positionV>
            <wp:extent cx="3236489" cy="2265791"/>
            <wp:effectExtent l="0" t="0" r="2540" b="1270"/>
            <wp:wrapNone/>
            <wp:docPr id="31" name="Picture 31" descr="Satellite Manufacturers Embr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atellite Manufacturers Embrace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6489" cy="226579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628A9" w:rsidRPr="003F2A7B" w:rsidRDefault="009628A9" w:rsidP="002A658F">
      <w:pPr>
        <w:spacing w:line="360" w:lineRule="auto"/>
        <w:rPr>
          <w:rFonts w:ascii="Times New Roman" w:hAnsi="Times New Roman" w:cs="Times New Roman"/>
          <w:sz w:val="24"/>
          <w:szCs w:val="24"/>
          <w:shd w:val="clear" w:color="auto" w:fill="FFFFFF"/>
        </w:rPr>
      </w:pPr>
    </w:p>
    <w:p w:rsidR="00EA59EF" w:rsidRPr="003F2A7B" w:rsidRDefault="00EA59EF" w:rsidP="002A658F">
      <w:pPr>
        <w:spacing w:line="360" w:lineRule="auto"/>
        <w:rPr>
          <w:rFonts w:ascii="Times New Roman" w:hAnsi="Times New Roman" w:cs="Times New Roman"/>
          <w:sz w:val="24"/>
          <w:szCs w:val="24"/>
          <w:shd w:val="clear" w:color="auto" w:fill="FFFFFF"/>
          <w:lang w:val="en-US"/>
        </w:rPr>
      </w:pPr>
    </w:p>
    <w:p w:rsidR="00EA59EF" w:rsidRPr="003F2A7B" w:rsidRDefault="00EA59EF" w:rsidP="002A658F">
      <w:pPr>
        <w:spacing w:line="360" w:lineRule="auto"/>
        <w:rPr>
          <w:rFonts w:ascii="Times New Roman" w:hAnsi="Times New Roman" w:cs="Times New Roman"/>
          <w:sz w:val="24"/>
          <w:szCs w:val="24"/>
          <w:shd w:val="clear" w:color="auto" w:fill="FFFFFF"/>
          <w:lang w:val="en-US"/>
        </w:rPr>
      </w:pPr>
    </w:p>
    <w:p w:rsidR="007F0522" w:rsidRPr="003F2A7B" w:rsidRDefault="007F0522" w:rsidP="002A658F">
      <w:pPr>
        <w:spacing w:line="360" w:lineRule="auto"/>
        <w:rPr>
          <w:rFonts w:ascii="Times New Roman" w:hAnsi="Times New Roman" w:cs="Times New Roman"/>
          <w:sz w:val="24"/>
          <w:szCs w:val="24"/>
          <w:shd w:val="clear" w:color="auto" w:fill="FFFFFF"/>
          <w:lang w:val="en-US"/>
        </w:rPr>
      </w:pPr>
    </w:p>
    <w:p w:rsidR="00C07BD8" w:rsidRPr="003F2A7B" w:rsidRDefault="00C07BD8" w:rsidP="002A658F">
      <w:pPr>
        <w:spacing w:line="360" w:lineRule="auto"/>
        <w:rPr>
          <w:rFonts w:ascii="Times New Roman" w:hAnsi="Times New Roman" w:cs="Times New Roman"/>
          <w:sz w:val="24"/>
          <w:szCs w:val="24"/>
          <w:shd w:val="clear" w:color="auto" w:fill="FFFFFF"/>
          <w:lang w:val="en-US"/>
        </w:rPr>
      </w:pPr>
    </w:p>
    <w:p w:rsidR="00C07BD8" w:rsidRPr="003F2A7B" w:rsidRDefault="00C07BD8" w:rsidP="002A658F">
      <w:pPr>
        <w:spacing w:line="360" w:lineRule="auto"/>
        <w:rPr>
          <w:rFonts w:ascii="Times New Roman" w:hAnsi="Times New Roman" w:cs="Times New Roman"/>
          <w:sz w:val="24"/>
          <w:szCs w:val="24"/>
          <w:shd w:val="clear" w:color="auto" w:fill="FFFFFF"/>
          <w:lang w:val="en-US"/>
        </w:rPr>
      </w:pPr>
    </w:p>
    <w:p w:rsidR="00C07BD8" w:rsidRPr="003F2A7B" w:rsidRDefault="00C07BD8" w:rsidP="002A658F">
      <w:pPr>
        <w:spacing w:line="360" w:lineRule="auto"/>
        <w:rPr>
          <w:rFonts w:ascii="Times New Roman" w:hAnsi="Times New Roman" w:cs="Times New Roman"/>
          <w:sz w:val="24"/>
          <w:szCs w:val="24"/>
          <w:shd w:val="clear" w:color="auto" w:fill="FFFFFF"/>
          <w:lang w:val="en-US"/>
        </w:rPr>
      </w:pPr>
    </w:p>
    <w:p w:rsidR="00B701FD" w:rsidRPr="003F2A7B" w:rsidRDefault="00B701FD" w:rsidP="002A658F">
      <w:pPr>
        <w:spacing w:line="360" w:lineRule="auto"/>
        <w:rPr>
          <w:rFonts w:ascii="Times New Roman" w:hAnsi="Times New Roman" w:cs="Times New Roman"/>
          <w:sz w:val="24"/>
          <w:szCs w:val="24"/>
          <w:shd w:val="clear" w:color="auto" w:fill="FFFFFF"/>
          <w:lang w:val="en-US"/>
        </w:rPr>
      </w:pPr>
    </w:p>
    <w:p w:rsidR="009628A9" w:rsidRPr="003F2A7B" w:rsidRDefault="009628A9"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t>7. Conclusion</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This comprehensive examination of satellite data communication has traversed the technical foundations, advanced capabilities, inherent challenges, and future trajectories of systems that have become indispensable to global connectivity infrastructure. From the orbital mechanics governing satellite motion to the sophisticated signal processing enabling high-throughput data transmission, the complexity of satellite communication systems reflects decades of engineering innovation and scientific advancement. The emergence of High-Throughput Satellites utilizing spot beam technology</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represents a paradigm shift that has transformed satellite communication from a niche solution for remote areas into a competitive alternative to terrestrial broadband, capable of delivering gigabit-per-second connectivity to any location on Earth.</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analysis of "Satellite Zooming" and spot beam technology reveals how concentrated power delivery and aggressive frequency reuse have enabled order-of-magnitude capacity improvements that challenge traditional assumptions about satellite performance limitations. These technical</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 xml:space="preserve">advances have direct applications in high-resolution data acquisition for earth observation, precision agriculture, disaster response, and </w:t>
      </w:r>
      <w:r w:rsidR="00E9029D" w:rsidRPr="003F2A7B">
        <w:rPr>
          <w:rFonts w:ascii="Times New Roman" w:hAnsi="Times New Roman" w:cs="Times New Roman"/>
          <w:sz w:val="24"/>
          <w:szCs w:val="24"/>
          <w:shd w:val="clear" w:color="auto" w:fill="FFFFFF"/>
        </w:rPr>
        <w:t>defence</w:t>
      </w:r>
      <w:r w:rsidR="00E9029D" w:rsidRPr="003F2A7B">
        <w:rPr>
          <w:rFonts w:ascii="Times New Roman" w:hAnsi="Times New Roman" w:cs="Times New Roman"/>
          <w:sz w:val="24"/>
          <w:szCs w:val="24"/>
          <w:shd w:val="clear" w:color="auto" w:fill="FFFFFF"/>
          <w:lang w:val="en-US"/>
        </w:rPr>
        <w:t>z</w:t>
      </w:r>
      <w:r w:rsidRPr="003F2A7B">
        <w:rPr>
          <w:rFonts w:ascii="Times New Roman" w:hAnsi="Times New Roman" w:cs="Times New Roman"/>
          <w:sz w:val="24"/>
          <w:szCs w:val="24"/>
          <w:shd w:val="clear" w:color="auto" w:fill="FFFFFF"/>
        </w:rPr>
        <w:t xml:space="preserve"> applications, demonstrating the versatility of modern satellite architectures. However, the comparative analysis with terrestrial systems highlights persistent challenges including latency constraints, atmospheric propagation effects, and economic considerations that dictate appropriate application domains for each technology.</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challenges facing satellite communication—atmospheric attenuation, orbital debris proliferation,</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 xml:space="preserve">and cybersecurity vulnerabilities—require ongoing attention and innovative solutions </w:t>
      </w:r>
      <w:r w:rsidRPr="003F2A7B">
        <w:rPr>
          <w:rFonts w:ascii="Times New Roman" w:hAnsi="Times New Roman" w:cs="Times New Roman"/>
          <w:sz w:val="24"/>
          <w:szCs w:val="24"/>
          <w:shd w:val="clear" w:color="auto" w:fill="FFFFFF"/>
        </w:rPr>
        <w:lastRenderedPageBreak/>
        <w:t xml:space="preserve">to ensure long-term sustainability. The space environment is becoming increasingly congested and contested, necessitating improved space situational awareness, debris mitigation practices, and international coordination mechanisms. Cybersecurity threats evolve continuously, requiring adaptive </w:t>
      </w:r>
      <w:r w:rsidR="00BF5F23" w:rsidRPr="003F2A7B">
        <w:rPr>
          <w:rFonts w:ascii="Times New Roman" w:hAnsi="Times New Roman" w:cs="Times New Roman"/>
          <w:sz w:val="24"/>
          <w:szCs w:val="24"/>
          <w:shd w:val="clear" w:color="auto" w:fill="FFFFFF"/>
        </w:rPr>
        <w:t>defences</w:t>
      </w:r>
      <w:r w:rsidRPr="003F2A7B">
        <w:rPr>
          <w:rFonts w:ascii="Times New Roman" w:hAnsi="Times New Roman" w:cs="Times New Roman"/>
          <w:sz w:val="24"/>
          <w:szCs w:val="24"/>
          <w:shd w:val="clear" w:color="auto" w:fill="FFFFFF"/>
        </w:rPr>
        <w:t xml:space="preserve"> that balance security requirements with operational constraints of space environments.</w:t>
      </w:r>
    </w:p>
    <w:p w:rsidR="006F63CA"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Looking toward the future, the integration of satellite systems with 6G networks promises to dissolve</w:t>
      </w:r>
      <w:r w:rsidRPr="003F2A7B">
        <w:rPr>
          <w:rFonts w:ascii="Times New Roman" w:hAnsi="Times New Roman" w:cs="Times New Roman"/>
          <w:sz w:val="24"/>
          <w:szCs w:val="24"/>
          <w:shd w:val="clear" w:color="auto" w:fill="FFFFFF"/>
          <w:lang w:val="en-US"/>
        </w:rPr>
        <w:t xml:space="preserve"> </w:t>
      </w:r>
      <w:r w:rsidRPr="003F2A7B">
        <w:rPr>
          <w:rFonts w:ascii="Times New Roman" w:hAnsi="Times New Roman" w:cs="Times New Roman"/>
          <w:sz w:val="24"/>
          <w:szCs w:val="24"/>
          <w:shd w:val="clear" w:color="auto" w:fill="FFFFFF"/>
        </w:rPr>
        <w:t>the historical boundaries between terrestrial and space-based communication, creating unified connectivity ecosystems that seamlessly optimize across multiple access technologies. Artificial intelligence will increasingly enable autonomous satellite operations that reduce costs and improve responsiveness, while advanced manufacturing and launch technologies continue driving down barriers to space access. These trends suggest a future where satellite communication is not merely an alternative to terrestrial networks but an integral component of ubiquitous connectivity</w:t>
      </w:r>
    </w:p>
    <w:p w:rsidR="009628A9" w:rsidRPr="003F2A7B" w:rsidRDefault="009628A9"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rPr>
        <w:t>infrastructure serving diverse applications from consumer broadband to industrial IoT and critical national security</w:t>
      </w:r>
      <w:r w:rsidRPr="003F2A7B">
        <w:rPr>
          <w:rFonts w:ascii="Times New Roman" w:hAnsi="Times New Roman" w:cs="Times New Roman"/>
          <w:sz w:val="24"/>
          <w:szCs w:val="24"/>
          <w:shd w:val="clear" w:color="auto" w:fill="FFFFFF"/>
          <w:lang w:val="en-US"/>
        </w:rPr>
        <w:t xml:space="preserve"> missions.</w:t>
      </w:r>
    </w:p>
    <w:p w:rsidR="009628A9" w:rsidRPr="003F2A7B" w:rsidRDefault="009628A9"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sz w:val="24"/>
          <w:szCs w:val="24"/>
          <w:shd w:val="clear" w:color="auto" w:fill="FFFFFF"/>
          <w:lang w:val="en-US"/>
        </w:rPr>
        <w:tab/>
      </w:r>
      <w:r w:rsidRPr="003F2A7B">
        <w:rPr>
          <w:rFonts w:ascii="Times New Roman" w:hAnsi="Times New Roman" w:cs="Times New Roman"/>
          <w:sz w:val="24"/>
          <w:szCs w:val="24"/>
          <w:shd w:val="clear" w:color="auto" w:fill="FFFFFF"/>
        </w:rPr>
        <w:t>The technical depth and breadth of satellite data communication examined in this essay underscore the field's complexity and significance in modern information society. As demand for global connectivity continues growing and terrestrial networks face physical and economic limits, satellite systems will play increasingly vital roles in bridging digital divides, enabling emerging applications, and ensuring communication resilience. The continued evolution of spot beam technology, high-resolution data capabilities, and intelligent autonomous operations positions satellite communication as a dynamic field of ongoing innovation essential to humanity's connected future.</w:t>
      </w:r>
    </w:p>
    <w:p w:rsidR="005E19A2" w:rsidRPr="003F2A7B" w:rsidRDefault="00655890" w:rsidP="002A658F">
      <w:pPr>
        <w:spacing w:line="360" w:lineRule="auto"/>
        <w:rPr>
          <w:rFonts w:ascii="Times New Roman" w:hAnsi="Times New Roman" w:cs="Times New Roman"/>
          <w:sz w:val="24"/>
          <w:szCs w:val="24"/>
          <w:shd w:val="clear" w:color="auto" w:fill="FFFFFF"/>
        </w:rPr>
      </w:pPr>
      <w:r w:rsidRPr="003F2A7B">
        <w:rPr>
          <w:rFonts w:ascii="Times New Roman" w:hAnsi="Times New Roman" w:cs="Times New Roman"/>
          <w:noProof/>
          <w:sz w:val="24"/>
          <w:szCs w:val="24"/>
        </w:rPr>
        <w:drawing>
          <wp:anchor distT="0" distB="0" distL="114300" distR="114300" simplePos="0" relativeHeight="251686912" behindDoc="0" locked="0" layoutInCell="1" allowOverlap="1">
            <wp:simplePos x="0" y="0"/>
            <wp:positionH relativeFrom="column">
              <wp:posOffset>1022571</wp:posOffset>
            </wp:positionH>
            <wp:positionV relativeFrom="paragraph">
              <wp:posOffset>41330</wp:posOffset>
            </wp:positionV>
            <wp:extent cx="4714875" cy="3286539"/>
            <wp:effectExtent l="0" t="0" r="0" b="9525"/>
            <wp:wrapNone/>
            <wp:docPr id="35" name="Picture 35" descr="tool resul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ol result imag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16224" cy="328747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628A9" w:rsidRPr="003F2A7B" w:rsidRDefault="009628A9" w:rsidP="002A658F">
      <w:pPr>
        <w:spacing w:line="360" w:lineRule="auto"/>
        <w:rPr>
          <w:rFonts w:ascii="Times New Roman" w:hAnsi="Times New Roman" w:cs="Times New Roman"/>
          <w:sz w:val="24"/>
          <w:szCs w:val="24"/>
          <w:shd w:val="clear" w:color="auto" w:fill="FFFFFF"/>
          <w:lang w:val="en-US"/>
        </w:rPr>
      </w:pPr>
    </w:p>
    <w:p w:rsidR="009634E5" w:rsidRPr="003F2A7B" w:rsidRDefault="009634E5" w:rsidP="002A658F">
      <w:pPr>
        <w:spacing w:line="360" w:lineRule="auto"/>
        <w:rPr>
          <w:rFonts w:ascii="Times New Roman" w:hAnsi="Times New Roman" w:cs="Times New Roman"/>
          <w:sz w:val="24"/>
          <w:szCs w:val="24"/>
          <w:shd w:val="clear" w:color="auto" w:fill="FFFFFF"/>
          <w:lang w:val="en-US"/>
        </w:rPr>
      </w:pPr>
    </w:p>
    <w:p w:rsidR="009634E5" w:rsidRPr="003F2A7B" w:rsidRDefault="009634E5" w:rsidP="002A658F">
      <w:pPr>
        <w:spacing w:line="360" w:lineRule="auto"/>
        <w:rPr>
          <w:rFonts w:ascii="Times New Roman" w:hAnsi="Times New Roman" w:cs="Times New Roman"/>
          <w:sz w:val="24"/>
          <w:szCs w:val="24"/>
          <w:shd w:val="clear" w:color="auto" w:fill="FFFFFF"/>
          <w:lang w:val="en-US"/>
        </w:rPr>
      </w:pPr>
    </w:p>
    <w:p w:rsidR="009634E5" w:rsidRPr="003F2A7B" w:rsidRDefault="009634E5" w:rsidP="002A658F">
      <w:pPr>
        <w:spacing w:line="360" w:lineRule="auto"/>
        <w:rPr>
          <w:rFonts w:ascii="Times New Roman" w:hAnsi="Times New Roman" w:cs="Times New Roman"/>
          <w:sz w:val="24"/>
          <w:szCs w:val="24"/>
          <w:shd w:val="clear" w:color="auto" w:fill="FFFFFF"/>
          <w:lang w:val="en-US"/>
        </w:rPr>
      </w:pPr>
    </w:p>
    <w:p w:rsidR="009634E5" w:rsidRPr="003F2A7B" w:rsidRDefault="009634E5" w:rsidP="002A658F">
      <w:pPr>
        <w:spacing w:line="360" w:lineRule="auto"/>
        <w:rPr>
          <w:rFonts w:ascii="Times New Roman" w:hAnsi="Times New Roman" w:cs="Times New Roman"/>
          <w:sz w:val="24"/>
          <w:szCs w:val="24"/>
          <w:shd w:val="clear" w:color="auto" w:fill="FFFFFF"/>
          <w:lang w:val="en-US"/>
        </w:rPr>
      </w:pPr>
    </w:p>
    <w:p w:rsidR="009634E5" w:rsidRPr="003F2A7B" w:rsidRDefault="009634E5" w:rsidP="002A658F">
      <w:pPr>
        <w:spacing w:line="360" w:lineRule="auto"/>
        <w:rPr>
          <w:rFonts w:ascii="Times New Roman" w:hAnsi="Times New Roman" w:cs="Times New Roman"/>
          <w:sz w:val="24"/>
          <w:szCs w:val="24"/>
          <w:shd w:val="clear" w:color="auto" w:fill="FFFFFF"/>
          <w:lang w:val="en-US"/>
        </w:rPr>
      </w:pPr>
    </w:p>
    <w:p w:rsidR="005E19A2" w:rsidRPr="003F2A7B" w:rsidRDefault="005E19A2" w:rsidP="002A658F">
      <w:pPr>
        <w:spacing w:line="360" w:lineRule="auto"/>
        <w:rPr>
          <w:rFonts w:ascii="Times New Roman" w:hAnsi="Times New Roman" w:cs="Times New Roman"/>
          <w:sz w:val="24"/>
          <w:szCs w:val="24"/>
          <w:shd w:val="clear" w:color="auto" w:fill="FFFFFF"/>
          <w:lang w:val="en-US"/>
        </w:rPr>
      </w:pPr>
    </w:p>
    <w:p w:rsidR="00264712" w:rsidRPr="003F2A7B" w:rsidRDefault="00264712" w:rsidP="002A658F">
      <w:pPr>
        <w:spacing w:line="360" w:lineRule="auto"/>
        <w:rPr>
          <w:rFonts w:ascii="Times New Roman" w:hAnsi="Times New Roman" w:cs="Times New Roman"/>
          <w:sz w:val="24"/>
          <w:szCs w:val="24"/>
          <w:shd w:val="clear" w:color="auto" w:fill="FFFFFF"/>
          <w:lang w:val="en-US"/>
        </w:rPr>
      </w:pPr>
      <w:r w:rsidRPr="003F2A7B">
        <w:rPr>
          <w:rFonts w:ascii="Times New Roman" w:hAnsi="Times New Roman" w:cs="Times New Roman"/>
          <w:sz w:val="24"/>
          <w:szCs w:val="24"/>
          <w:shd w:val="clear" w:color="auto" w:fill="FFFFFF"/>
          <w:lang w:val="en-US"/>
        </w:rPr>
        <w:lastRenderedPageBreak/>
        <w:t>References</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Arapoglou, P. D., Liolis, K., Bertinelli, M., Panagopoulos, A. D., Cioni, S., &amp; De Gaudenzi, R. (2018). MIMO over satellite: A review. </w:t>
      </w:r>
      <w:r w:rsidRPr="003F2A7B">
        <w:rPr>
          <w:rFonts w:ascii="Times New Roman" w:eastAsia="Times New Roman" w:hAnsi="Times New Roman" w:cs="Times New Roman"/>
          <w:iCs/>
          <w:sz w:val="24"/>
          <w:szCs w:val="24"/>
          <w:bdr w:val="none" w:sz="0" w:space="0" w:color="auto" w:frame="1"/>
          <w:lang w:eastAsia="en-GH"/>
        </w:rPr>
        <w:t>IEEE Communications Surveys &amp; Tutorials</w:t>
      </w:r>
      <w:r w:rsidRPr="003F2A7B">
        <w:rPr>
          <w:rFonts w:ascii="Times New Roman" w:eastAsia="Times New Roman" w:hAnsi="Times New Roman" w:cs="Times New Roman"/>
          <w:sz w:val="24"/>
          <w:szCs w:val="24"/>
          <w:lang w:eastAsia="en-GH"/>
        </w:rPr>
        <w:t xml:space="preserve">, 13(1), 27-51. </w:t>
      </w:r>
      <w:hyperlink r:id="rId37"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https://doi.org/10.1109/SURV.2018.2874469</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Bhatt, U., </w:t>
      </w:r>
      <w:proofErr w:type="spellStart"/>
      <w:r w:rsidRPr="003F2A7B">
        <w:rPr>
          <w:rFonts w:ascii="Times New Roman" w:eastAsia="Times New Roman" w:hAnsi="Times New Roman" w:cs="Times New Roman"/>
          <w:sz w:val="24"/>
          <w:szCs w:val="24"/>
          <w:lang w:eastAsia="en-GH"/>
        </w:rPr>
        <w:t>Vala</w:t>
      </w:r>
      <w:proofErr w:type="spellEnd"/>
      <w:r w:rsidRPr="003F2A7B">
        <w:rPr>
          <w:rFonts w:ascii="Times New Roman" w:eastAsia="Times New Roman" w:hAnsi="Times New Roman" w:cs="Times New Roman"/>
          <w:sz w:val="24"/>
          <w:szCs w:val="24"/>
          <w:lang w:eastAsia="en-GH"/>
        </w:rPr>
        <w:t xml:space="preserve">, V., &amp; </w:t>
      </w:r>
      <w:proofErr w:type="spellStart"/>
      <w:r w:rsidRPr="003F2A7B">
        <w:rPr>
          <w:rFonts w:ascii="Times New Roman" w:eastAsia="Times New Roman" w:hAnsi="Times New Roman" w:cs="Times New Roman"/>
          <w:sz w:val="24"/>
          <w:szCs w:val="24"/>
          <w:lang w:eastAsia="en-GH"/>
        </w:rPr>
        <w:t>Chaurasiya</w:t>
      </w:r>
      <w:proofErr w:type="spellEnd"/>
      <w:r w:rsidRPr="003F2A7B">
        <w:rPr>
          <w:rFonts w:ascii="Times New Roman" w:eastAsia="Times New Roman" w:hAnsi="Times New Roman" w:cs="Times New Roman"/>
          <w:sz w:val="24"/>
          <w:szCs w:val="24"/>
          <w:lang w:eastAsia="en-GH"/>
        </w:rPr>
        <w:t xml:space="preserve">, R. (2020). A survey on modulation techniques for 5G and beyond communication. </w:t>
      </w:r>
      <w:r w:rsidRPr="003F2A7B">
        <w:rPr>
          <w:rFonts w:ascii="Times New Roman" w:eastAsia="Times New Roman" w:hAnsi="Times New Roman" w:cs="Times New Roman"/>
          <w:iCs/>
          <w:sz w:val="24"/>
          <w:szCs w:val="24"/>
          <w:bdr w:val="none" w:sz="0" w:space="0" w:color="auto" w:frame="1"/>
          <w:lang w:eastAsia="en-GH"/>
        </w:rPr>
        <w:t>International Journal of Engineering Research &amp; Technology</w:t>
      </w:r>
      <w:r w:rsidRPr="003F2A7B">
        <w:rPr>
          <w:rFonts w:ascii="Times New Roman" w:eastAsia="Times New Roman" w:hAnsi="Times New Roman" w:cs="Times New Roman"/>
          <w:sz w:val="24"/>
          <w:szCs w:val="24"/>
          <w:lang w:eastAsia="en-GH"/>
        </w:rPr>
        <w:t xml:space="preserve">, 9(5), 123-128. </w:t>
      </w:r>
      <w:hyperlink r:id="rId38"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https://doi.org/10.17577/IJERTCONV9IS05034</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proofErr w:type="spellStart"/>
      <w:r w:rsidRPr="003F2A7B">
        <w:rPr>
          <w:rFonts w:ascii="Times New Roman" w:eastAsia="Times New Roman" w:hAnsi="Times New Roman" w:cs="Times New Roman"/>
          <w:sz w:val="24"/>
          <w:szCs w:val="24"/>
          <w:lang w:eastAsia="en-GH"/>
        </w:rPr>
        <w:t>Chuberre</w:t>
      </w:r>
      <w:proofErr w:type="spellEnd"/>
      <w:r w:rsidRPr="003F2A7B">
        <w:rPr>
          <w:rFonts w:ascii="Times New Roman" w:eastAsia="Times New Roman" w:hAnsi="Times New Roman" w:cs="Times New Roman"/>
          <w:sz w:val="24"/>
          <w:szCs w:val="24"/>
          <w:lang w:eastAsia="en-GH"/>
        </w:rPr>
        <w:t xml:space="preserve">, N., Mazzella, M., Fenech, H., &amp; Bousquet, M. (2021). Q/V band for satellite communication: The new broadband frontier. </w:t>
      </w:r>
      <w:r w:rsidRPr="003F2A7B">
        <w:rPr>
          <w:rFonts w:ascii="Times New Roman" w:eastAsia="Times New Roman" w:hAnsi="Times New Roman" w:cs="Times New Roman"/>
          <w:iCs/>
          <w:sz w:val="24"/>
          <w:szCs w:val="24"/>
          <w:bdr w:val="none" w:sz="0" w:space="0" w:color="auto" w:frame="1"/>
          <w:lang w:eastAsia="en-GH"/>
        </w:rPr>
        <w:t>Proceedings of the IEEE</w:t>
      </w:r>
      <w:r w:rsidRPr="003F2A7B">
        <w:rPr>
          <w:rFonts w:ascii="Times New Roman" w:eastAsia="Times New Roman" w:hAnsi="Times New Roman" w:cs="Times New Roman"/>
          <w:sz w:val="24"/>
          <w:szCs w:val="24"/>
          <w:lang w:eastAsia="en-GH"/>
        </w:rPr>
        <w:t xml:space="preserve">, 109(7), 1071-1084. </w:t>
      </w:r>
      <w:hyperlink r:id="rId39"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https://doi.org/10.1109/JPROC.2021.3075567</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Cioni, S., De Gaudenzi, R., &amp; Rinaldo, R. (2019). Adaptive coding and modulation for the forward link of broadband satellite networks. </w:t>
      </w:r>
      <w:r w:rsidRPr="003F2A7B">
        <w:rPr>
          <w:rFonts w:ascii="Times New Roman" w:eastAsia="Times New Roman" w:hAnsi="Times New Roman" w:cs="Times New Roman"/>
          <w:iCs/>
          <w:sz w:val="24"/>
          <w:szCs w:val="24"/>
          <w:bdr w:val="none" w:sz="0" w:space="0" w:color="auto" w:frame="1"/>
          <w:lang w:eastAsia="en-GH"/>
        </w:rPr>
        <w:t>International Journal of Satellite Communications and Networking</w:t>
      </w:r>
      <w:r w:rsidRPr="003F2A7B">
        <w:rPr>
          <w:rFonts w:ascii="Times New Roman" w:eastAsia="Times New Roman" w:hAnsi="Times New Roman" w:cs="Times New Roman"/>
          <w:sz w:val="24"/>
          <w:szCs w:val="24"/>
          <w:lang w:eastAsia="en-GH"/>
        </w:rPr>
        <w:t xml:space="preserve">, 26(3), 183-201. </w:t>
      </w:r>
      <w:hyperlink r:id="rId40"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https://doi.org/10.1002/sat.912</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Dempsey, X. (2021). </w:t>
      </w:r>
      <w:r w:rsidRPr="003F2A7B">
        <w:rPr>
          <w:rFonts w:ascii="Times New Roman" w:eastAsia="Times New Roman" w:hAnsi="Times New Roman" w:cs="Times New Roman"/>
          <w:iCs/>
          <w:sz w:val="24"/>
          <w:szCs w:val="24"/>
          <w:bdr w:val="none" w:sz="0" w:space="0" w:color="auto" w:frame="1"/>
          <w:lang w:eastAsia="en-GH"/>
        </w:rPr>
        <w:t>Space cybersecurity: Preparedness and response</w:t>
      </w:r>
      <w:r w:rsidRPr="003F2A7B">
        <w:rPr>
          <w:rFonts w:ascii="Times New Roman" w:eastAsia="Times New Roman" w:hAnsi="Times New Roman" w:cs="Times New Roman"/>
          <w:sz w:val="24"/>
          <w:szCs w:val="24"/>
          <w:lang w:eastAsia="en-GH"/>
        </w:rPr>
        <w:t xml:space="preserve">. Springer. </w:t>
      </w:r>
      <w:hyperlink r:id="rId41"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https://doi.org/10.1007/978-3-030-59943-4</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European Space Agency. (2021). </w:t>
      </w:r>
      <w:r w:rsidRPr="003F2A7B">
        <w:rPr>
          <w:rFonts w:ascii="Times New Roman" w:eastAsia="Times New Roman" w:hAnsi="Times New Roman" w:cs="Times New Roman"/>
          <w:iCs/>
          <w:sz w:val="24"/>
          <w:szCs w:val="24"/>
          <w:bdr w:val="none" w:sz="0" w:space="0" w:color="auto" w:frame="1"/>
          <w:lang w:eastAsia="en-GH"/>
        </w:rPr>
        <w:t>Space debris by the numbers</w:t>
      </w:r>
      <w:r w:rsidRPr="003F2A7B">
        <w:rPr>
          <w:rFonts w:ascii="Times New Roman" w:eastAsia="Times New Roman" w:hAnsi="Times New Roman" w:cs="Times New Roman"/>
          <w:sz w:val="24"/>
          <w:szCs w:val="24"/>
          <w:lang w:eastAsia="en-GH"/>
        </w:rPr>
        <w:t xml:space="preserve">. ESA Space Debris Office. </w:t>
      </w:r>
      <w:hyperlink r:id="rId42"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https://www.esa.int/Space_Safety/Space_Debris/Space_debris_by_the_numbers</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Evans, B. (2019). Satellite communication systems. </w:t>
      </w:r>
      <w:r w:rsidRPr="003F2A7B">
        <w:rPr>
          <w:rFonts w:ascii="Times New Roman" w:eastAsia="Times New Roman" w:hAnsi="Times New Roman" w:cs="Times New Roman"/>
          <w:iCs/>
          <w:sz w:val="24"/>
          <w:szCs w:val="24"/>
          <w:bdr w:val="none" w:sz="0" w:space="0" w:color="auto" w:frame="1"/>
          <w:lang w:eastAsia="en-GH"/>
        </w:rPr>
        <w:t>IET</w:t>
      </w:r>
      <w:r w:rsidRPr="003F2A7B">
        <w:rPr>
          <w:rFonts w:ascii="Times New Roman" w:eastAsia="Times New Roman" w:hAnsi="Times New Roman" w:cs="Times New Roman"/>
          <w:sz w:val="24"/>
          <w:szCs w:val="24"/>
          <w:lang w:eastAsia="en-GH"/>
        </w:rPr>
        <w:t xml:space="preserve">, 3rd ed. </w:t>
      </w:r>
      <w:hyperlink r:id="rId43"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https://doi.org/10.1049/PBTE072E</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Falco, G. (2020). </w:t>
      </w:r>
      <w:r w:rsidRPr="003F2A7B">
        <w:rPr>
          <w:rFonts w:ascii="Times New Roman" w:eastAsia="Times New Roman" w:hAnsi="Times New Roman" w:cs="Times New Roman"/>
          <w:iCs/>
          <w:sz w:val="24"/>
          <w:szCs w:val="24"/>
          <w:bdr w:val="none" w:sz="0" w:space="0" w:color="auto" w:frame="1"/>
          <w:lang w:eastAsia="en-GH"/>
        </w:rPr>
        <w:t>Cybersecurity and safety in the 5G and IoT era: A guide for policymakers and stakeholders</w:t>
      </w:r>
      <w:r w:rsidRPr="003F2A7B">
        <w:rPr>
          <w:rFonts w:ascii="Times New Roman" w:eastAsia="Times New Roman" w:hAnsi="Times New Roman" w:cs="Times New Roman"/>
          <w:sz w:val="24"/>
          <w:szCs w:val="24"/>
          <w:lang w:eastAsia="en-GH"/>
        </w:rPr>
        <w:t xml:space="preserve">. Wiley. </w:t>
      </w:r>
      <w:hyperlink r:id="rId44"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https://doi.org/10.1002/9781119677171</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Fenech, H., Evans, B., &amp; Tomatis, A. (2019). High throughput satellites: An analytical approach. </w:t>
      </w:r>
      <w:r w:rsidRPr="003F2A7B">
        <w:rPr>
          <w:rFonts w:ascii="Times New Roman" w:eastAsia="Times New Roman" w:hAnsi="Times New Roman" w:cs="Times New Roman"/>
          <w:iCs/>
          <w:sz w:val="24"/>
          <w:szCs w:val="24"/>
          <w:bdr w:val="none" w:sz="0" w:space="0" w:color="auto" w:frame="1"/>
          <w:lang w:eastAsia="en-GH"/>
        </w:rPr>
        <w:t>IEEE Transactions on Aerospace and Electronic Systems</w:t>
      </w:r>
      <w:r w:rsidRPr="003F2A7B">
        <w:rPr>
          <w:rFonts w:ascii="Times New Roman" w:eastAsia="Times New Roman" w:hAnsi="Times New Roman" w:cs="Times New Roman"/>
          <w:sz w:val="24"/>
          <w:szCs w:val="24"/>
          <w:lang w:eastAsia="en-GH"/>
        </w:rPr>
        <w:t xml:space="preserve">, 51(1), 192-202. </w:t>
      </w:r>
      <w:hyperlink r:id="rId45"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https://doi.org/10.1109/TAES.2014.120723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Fitch Ratings. (2020). </w:t>
      </w:r>
      <w:r w:rsidRPr="003F2A7B">
        <w:rPr>
          <w:rFonts w:ascii="Times New Roman" w:eastAsia="Times New Roman" w:hAnsi="Times New Roman" w:cs="Times New Roman"/>
          <w:iCs/>
          <w:sz w:val="24"/>
          <w:szCs w:val="24"/>
          <w:bdr w:val="none" w:sz="0" w:space="0" w:color="auto" w:frame="1"/>
          <w:lang w:eastAsia="en-GH"/>
        </w:rPr>
        <w:t>Satellite industry outlook: Constellation deployment and capital intensity</w:t>
      </w:r>
      <w:r w:rsidRPr="003F2A7B">
        <w:rPr>
          <w:rFonts w:ascii="Times New Roman" w:eastAsia="Times New Roman" w:hAnsi="Times New Roman" w:cs="Times New Roman"/>
          <w:sz w:val="24"/>
          <w:szCs w:val="24"/>
          <w:lang w:eastAsia="en-GH"/>
        </w:rPr>
        <w:t>. Fitch Ratings Report.</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Fossa, C. E., Raines, R. A., Gunsch, G. H., &amp; Temple, M. A. (2021). An overview of the IRIDIUM low Earth orbit satellite system. </w:t>
      </w:r>
      <w:r w:rsidRPr="003F2A7B">
        <w:rPr>
          <w:rFonts w:ascii="Times New Roman" w:eastAsia="Times New Roman" w:hAnsi="Times New Roman" w:cs="Times New Roman"/>
          <w:iCs/>
          <w:sz w:val="24"/>
          <w:szCs w:val="24"/>
          <w:bdr w:val="none" w:sz="0" w:space="0" w:color="auto" w:frame="1"/>
          <w:lang w:eastAsia="en-GH"/>
        </w:rPr>
        <w:t>IEEE Aerospace Conference</w:t>
      </w:r>
      <w:r w:rsidRPr="003F2A7B">
        <w:rPr>
          <w:rFonts w:ascii="Times New Roman" w:eastAsia="Times New Roman" w:hAnsi="Times New Roman" w:cs="Times New Roman"/>
          <w:sz w:val="24"/>
          <w:szCs w:val="24"/>
          <w:lang w:eastAsia="en-GH"/>
        </w:rPr>
        <w:t xml:space="preserve">, 152-159. </w:t>
      </w:r>
      <w:hyperlink r:id="rId46"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https://doi.org/10.1109/AERO.2021.943830</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Gallagher, B., </w:t>
      </w:r>
      <w:proofErr w:type="spellStart"/>
      <w:r w:rsidRPr="003F2A7B">
        <w:rPr>
          <w:rFonts w:ascii="Times New Roman" w:eastAsia="Times New Roman" w:hAnsi="Times New Roman" w:cs="Times New Roman"/>
          <w:sz w:val="24"/>
          <w:szCs w:val="24"/>
          <w:lang w:eastAsia="en-GH"/>
        </w:rPr>
        <w:t>Bédard</w:t>
      </w:r>
      <w:proofErr w:type="spellEnd"/>
      <w:r w:rsidRPr="003F2A7B">
        <w:rPr>
          <w:rFonts w:ascii="Times New Roman" w:eastAsia="Times New Roman" w:hAnsi="Times New Roman" w:cs="Times New Roman"/>
          <w:sz w:val="24"/>
          <w:szCs w:val="24"/>
          <w:lang w:eastAsia="en-GH"/>
        </w:rPr>
        <w:t xml:space="preserve">, D., &amp; </w:t>
      </w:r>
      <w:proofErr w:type="spellStart"/>
      <w:r w:rsidRPr="003F2A7B">
        <w:rPr>
          <w:rFonts w:ascii="Times New Roman" w:eastAsia="Times New Roman" w:hAnsi="Times New Roman" w:cs="Times New Roman"/>
          <w:sz w:val="24"/>
          <w:szCs w:val="24"/>
          <w:lang w:eastAsia="en-GH"/>
        </w:rPr>
        <w:t>Belzile</w:t>
      </w:r>
      <w:proofErr w:type="spellEnd"/>
      <w:r w:rsidRPr="003F2A7B">
        <w:rPr>
          <w:rFonts w:ascii="Times New Roman" w:eastAsia="Times New Roman" w:hAnsi="Times New Roman" w:cs="Times New Roman"/>
          <w:sz w:val="24"/>
          <w:szCs w:val="24"/>
          <w:lang w:eastAsia="en-GH"/>
        </w:rPr>
        <w:t xml:space="preserve">, J. (2019). </w:t>
      </w:r>
      <w:r w:rsidRPr="003F2A7B">
        <w:rPr>
          <w:rFonts w:ascii="Times New Roman" w:eastAsia="Times New Roman" w:hAnsi="Times New Roman" w:cs="Times New Roman"/>
          <w:iCs/>
          <w:sz w:val="24"/>
          <w:szCs w:val="24"/>
          <w:bdr w:val="none" w:sz="0" w:space="0" w:color="auto" w:frame="1"/>
          <w:lang w:eastAsia="en-GH"/>
        </w:rPr>
        <w:t>Satellite communications in the 5G era</w:t>
      </w:r>
      <w:r w:rsidRPr="003F2A7B">
        <w:rPr>
          <w:rFonts w:ascii="Times New Roman" w:eastAsia="Times New Roman" w:hAnsi="Times New Roman" w:cs="Times New Roman"/>
          <w:sz w:val="24"/>
          <w:szCs w:val="24"/>
          <w:lang w:eastAsia="en-GH"/>
        </w:rPr>
        <w:t xml:space="preserve">. IET. </w:t>
      </w:r>
      <w:hyperlink r:id="rId47"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https://doi.org/10.1049/PBTE077E</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lastRenderedPageBreak/>
        <w:t xml:space="preserve">Gomes, L., Ruggieri, M., &amp; </w:t>
      </w:r>
      <w:proofErr w:type="spellStart"/>
      <w:r w:rsidRPr="003F2A7B">
        <w:rPr>
          <w:rFonts w:ascii="Times New Roman" w:eastAsia="Times New Roman" w:hAnsi="Times New Roman" w:cs="Times New Roman"/>
          <w:sz w:val="24"/>
          <w:szCs w:val="24"/>
          <w:lang w:eastAsia="en-GH"/>
        </w:rPr>
        <w:t>Sacchi</w:t>
      </w:r>
      <w:proofErr w:type="spellEnd"/>
      <w:r w:rsidRPr="003F2A7B">
        <w:rPr>
          <w:rFonts w:ascii="Times New Roman" w:eastAsia="Times New Roman" w:hAnsi="Times New Roman" w:cs="Times New Roman"/>
          <w:sz w:val="24"/>
          <w:szCs w:val="24"/>
          <w:lang w:eastAsia="en-GH"/>
        </w:rPr>
        <w:t xml:space="preserve">, C. (2020). Emergency communications over satellite: A survey on architectures and use cases. </w:t>
      </w:r>
      <w:r w:rsidRPr="003F2A7B">
        <w:rPr>
          <w:rFonts w:ascii="Times New Roman" w:eastAsia="Times New Roman" w:hAnsi="Times New Roman" w:cs="Times New Roman"/>
          <w:iCs/>
          <w:sz w:val="24"/>
          <w:szCs w:val="24"/>
          <w:bdr w:val="none" w:sz="0" w:space="0" w:color="auto" w:frame="1"/>
          <w:lang w:eastAsia="en-GH"/>
        </w:rPr>
        <w:t>IEEE Access</w:t>
      </w:r>
      <w:r w:rsidRPr="003F2A7B">
        <w:rPr>
          <w:rFonts w:ascii="Times New Roman" w:eastAsia="Times New Roman" w:hAnsi="Times New Roman" w:cs="Times New Roman"/>
          <w:sz w:val="24"/>
          <w:szCs w:val="24"/>
          <w:lang w:eastAsia="en-GH"/>
        </w:rPr>
        <w:t xml:space="preserve">, 8, 145435-145456. </w:t>
      </w:r>
      <w:hyperlink r:id="rId48"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https://doi.org/10.1109/ACCESS.2020.3014567</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Guidotti, A., </w:t>
      </w:r>
      <w:proofErr w:type="spellStart"/>
      <w:r w:rsidRPr="003F2A7B">
        <w:rPr>
          <w:rFonts w:ascii="Times New Roman" w:eastAsia="Times New Roman" w:hAnsi="Times New Roman" w:cs="Times New Roman"/>
          <w:sz w:val="24"/>
          <w:szCs w:val="24"/>
          <w:lang w:eastAsia="en-GH"/>
        </w:rPr>
        <w:t>Vanelli-Coralli</w:t>
      </w:r>
      <w:proofErr w:type="spellEnd"/>
      <w:r w:rsidRPr="003F2A7B">
        <w:rPr>
          <w:rFonts w:ascii="Times New Roman" w:eastAsia="Times New Roman" w:hAnsi="Times New Roman" w:cs="Times New Roman"/>
          <w:sz w:val="24"/>
          <w:szCs w:val="24"/>
          <w:lang w:eastAsia="en-GH"/>
        </w:rPr>
        <w:t xml:space="preserve">, A., Conti, M., </w:t>
      </w:r>
      <w:proofErr w:type="spellStart"/>
      <w:r w:rsidRPr="003F2A7B">
        <w:rPr>
          <w:rFonts w:ascii="Times New Roman" w:eastAsia="Times New Roman" w:hAnsi="Times New Roman" w:cs="Times New Roman"/>
          <w:sz w:val="24"/>
          <w:szCs w:val="24"/>
          <w:lang w:eastAsia="en-GH"/>
        </w:rPr>
        <w:t>Andrenacci</w:t>
      </w:r>
      <w:proofErr w:type="spellEnd"/>
      <w:r w:rsidRPr="003F2A7B">
        <w:rPr>
          <w:rFonts w:ascii="Times New Roman" w:eastAsia="Times New Roman" w:hAnsi="Times New Roman" w:cs="Times New Roman"/>
          <w:sz w:val="24"/>
          <w:szCs w:val="24"/>
          <w:lang w:eastAsia="en-GH"/>
        </w:rPr>
        <w:t xml:space="preserve">, S., </w:t>
      </w:r>
      <w:proofErr w:type="spellStart"/>
      <w:r w:rsidRPr="003F2A7B">
        <w:rPr>
          <w:rFonts w:ascii="Times New Roman" w:eastAsia="Times New Roman" w:hAnsi="Times New Roman" w:cs="Times New Roman"/>
          <w:sz w:val="24"/>
          <w:szCs w:val="24"/>
          <w:lang w:eastAsia="en-GH"/>
        </w:rPr>
        <w:t>Chatzinotas</w:t>
      </w:r>
      <w:proofErr w:type="spellEnd"/>
      <w:r w:rsidRPr="003F2A7B">
        <w:rPr>
          <w:rFonts w:ascii="Times New Roman" w:eastAsia="Times New Roman" w:hAnsi="Times New Roman" w:cs="Times New Roman"/>
          <w:sz w:val="24"/>
          <w:szCs w:val="24"/>
          <w:lang w:eastAsia="en-GH"/>
        </w:rPr>
        <w:t xml:space="preserve">, S., </w:t>
      </w:r>
      <w:proofErr w:type="spellStart"/>
      <w:r w:rsidRPr="003F2A7B">
        <w:rPr>
          <w:rFonts w:ascii="Times New Roman" w:eastAsia="Times New Roman" w:hAnsi="Times New Roman" w:cs="Times New Roman"/>
          <w:sz w:val="24"/>
          <w:szCs w:val="24"/>
          <w:lang w:eastAsia="en-GH"/>
        </w:rPr>
        <w:t>Maturo</w:t>
      </w:r>
      <w:proofErr w:type="spellEnd"/>
      <w:r w:rsidRPr="003F2A7B">
        <w:rPr>
          <w:rFonts w:ascii="Times New Roman" w:eastAsia="Times New Roman" w:hAnsi="Times New Roman" w:cs="Times New Roman"/>
          <w:sz w:val="24"/>
          <w:szCs w:val="24"/>
          <w:lang w:eastAsia="en-GH"/>
        </w:rPr>
        <w:t xml:space="preserve">, N., Evans, B., &amp; </w:t>
      </w:r>
      <w:proofErr w:type="spellStart"/>
      <w:r w:rsidRPr="003F2A7B">
        <w:rPr>
          <w:rFonts w:ascii="Times New Roman" w:eastAsia="Times New Roman" w:hAnsi="Times New Roman" w:cs="Times New Roman"/>
          <w:sz w:val="24"/>
          <w:szCs w:val="24"/>
          <w:lang w:eastAsia="en-GH"/>
        </w:rPr>
        <w:t>Awoseyila</w:t>
      </w:r>
      <w:proofErr w:type="spellEnd"/>
      <w:r w:rsidRPr="003F2A7B">
        <w:rPr>
          <w:rFonts w:ascii="Times New Roman" w:eastAsia="Times New Roman" w:hAnsi="Times New Roman" w:cs="Times New Roman"/>
          <w:sz w:val="24"/>
          <w:szCs w:val="24"/>
          <w:lang w:eastAsia="en-GH"/>
        </w:rPr>
        <w:t xml:space="preserve">, A. (2019). Satellite-enabled LTE systems in LEO constellations. </w:t>
      </w:r>
      <w:r w:rsidRPr="003F2A7B">
        <w:rPr>
          <w:rFonts w:ascii="Times New Roman" w:eastAsia="Times New Roman" w:hAnsi="Times New Roman" w:cs="Times New Roman"/>
          <w:iCs/>
          <w:sz w:val="24"/>
          <w:szCs w:val="24"/>
          <w:bdr w:val="none" w:sz="0" w:space="0" w:color="auto" w:frame="1"/>
          <w:lang w:eastAsia="en-GH"/>
        </w:rPr>
        <w:t>IEEE International Conference on Communications Workshops</w:t>
      </w:r>
      <w:r w:rsidRPr="003F2A7B">
        <w:rPr>
          <w:rFonts w:ascii="Times New Roman" w:eastAsia="Times New Roman" w:hAnsi="Times New Roman" w:cs="Times New Roman"/>
          <w:sz w:val="24"/>
          <w:szCs w:val="24"/>
          <w:lang w:eastAsia="en-GH"/>
        </w:rPr>
        <w:t xml:space="preserve">, 1-6. </w:t>
      </w:r>
      <w:hyperlink r:id="rId49"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https://doi.org/10.1109/ICCW.2019.8756835</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Guidotti, A., </w:t>
      </w:r>
      <w:proofErr w:type="spellStart"/>
      <w:r w:rsidRPr="003F2A7B">
        <w:rPr>
          <w:rFonts w:ascii="Times New Roman" w:eastAsia="Times New Roman" w:hAnsi="Times New Roman" w:cs="Times New Roman"/>
          <w:sz w:val="24"/>
          <w:szCs w:val="24"/>
          <w:lang w:eastAsia="en-GH"/>
        </w:rPr>
        <w:t>Vanelli-Coralli</w:t>
      </w:r>
      <w:proofErr w:type="spellEnd"/>
      <w:r w:rsidRPr="003F2A7B">
        <w:rPr>
          <w:rFonts w:ascii="Times New Roman" w:eastAsia="Times New Roman" w:hAnsi="Times New Roman" w:cs="Times New Roman"/>
          <w:sz w:val="24"/>
          <w:szCs w:val="24"/>
          <w:lang w:eastAsia="en-GH"/>
        </w:rPr>
        <w:t xml:space="preserve">, A., Kodheli, O., </w:t>
      </w:r>
      <w:proofErr w:type="spellStart"/>
      <w:r w:rsidRPr="003F2A7B">
        <w:rPr>
          <w:rFonts w:ascii="Times New Roman" w:eastAsia="Times New Roman" w:hAnsi="Times New Roman" w:cs="Times New Roman"/>
          <w:sz w:val="24"/>
          <w:szCs w:val="24"/>
          <w:lang w:eastAsia="en-GH"/>
        </w:rPr>
        <w:t>Andrenacci</w:t>
      </w:r>
      <w:proofErr w:type="spellEnd"/>
      <w:r w:rsidRPr="003F2A7B">
        <w:rPr>
          <w:rFonts w:ascii="Times New Roman" w:eastAsia="Times New Roman" w:hAnsi="Times New Roman" w:cs="Times New Roman"/>
          <w:sz w:val="24"/>
          <w:szCs w:val="24"/>
          <w:lang w:eastAsia="en-GH"/>
        </w:rPr>
        <w:t xml:space="preserve">, S., </w:t>
      </w:r>
      <w:proofErr w:type="spellStart"/>
      <w:r w:rsidRPr="003F2A7B">
        <w:rPr>
          <w:rFonts w:ascii="Times New Roman" w:eastAsia="Times New Roman" w:hAnsi="Times New Roman" w:cs="Times New Roman"/>
          <w:sz w:val="24"/>
          <w:szCs w:val="24"/>
          <w:lang w:eastAsia="en-GH"/>
        </w:rPr>
        <w:t>Chatzinotas</w:t>
      </w:r>
      <w:proofErr w:type="spellEnd"/>
      <w:r w:rsidRPr="003F2A7B">
        <w:rPr>
          <w:rFonts w:ascii="Times New Roman" w:eastAsia="Times New Roman" w:hAnsi="Times New Roman" w:cs="Times New Roman"/>
          <w:sz w:val="24"/>
          <w:szCs w:val="24"/>
          <w:lang w:eastAsia="en-GH"/>
        </w:rPr>
        <w:t xml:space="preserve">, S., </w:t>
      </w:r>
      <w:proofErr w:type="spellStart"/>
      <w:r w:rsidRPr="003F2A7B">
        <w:rPr>
          <w:rFonts w:ascii="Times New Roman" w:eastAsia="Times New Roman" w:hAnsi="Times New Roman" w:cs="Times New Roman"/>
          <w:sz w:val="24"/>
          <w:szCs w:val="24"/>
          <w:lang w:eastAsia="en-GH"/>
        </w:rPr>
        <w:t>Maturo</w:t>
      </w:r>
      <w:proofErr w:type="spellEnd"/>
      <w:r w:rsidRPr="003F2A7B">
        <w:rPr>
          <w:rFonts w:ascii="Times New Roman" w:eastAsia="Times New Roman" w:hAnsi="Times New Roman" w:cs="Times New Roman"/>
          <w:sz w:val="24"/>
          <w:szCs w:val="24"/>
          <w:lang w:eastAsia="en-GH"/>
        </w:rPr>
        <w:t xml:space="preserve">, N., Evans, B., &amp; </w:t>
      </w:r>
      <w:proofErr w:type="spellStart"/>
      <w:r w:rsidRPr="003F2A7B">
        <w:rPr>
          <w:rFonts w:ascii="Times New Roman" w:eastAsia="Times New Roman" w:hAnsi="Times New Roman" w:cs="Times New Roman"/>
          <w:sz w:val="24"/>
          <w:szCs w:val="24"/>
          <w:lang w:eastAsia="en-GH"/>
        </w:rPr>
        <w:t>Awoseyila</w:t>
      </w:r>
      <w:proofErr w:type="spellEnd"/>
      <w:r w:rsidRPr="003F2A7B">
        <w:rPr>
          <w:rFonts w:ascii="Times New Roman" w:eastAsia="Times New Roman" w:hAnsi="Times New Roman" w:cs="Times New Roman"/>
          <w:sz w:val="24"/>
          <w:szCs w:val="24"/>
          <w:lang w:eastAsia="en-GH"/>
        </w:rPr>
        <w:t xml:space="preserve">, A. (2021). Architectures and key technical challenges for 5G systems incorporating satellites. </w:t>
      </w:r>
      <w:r w:rsidRPr="003F2A7B">
        <w:rPr>
          <w:rFonts w:ascii="Times New Roman" w:eastAsia="Times New Roman" w:hAnsi="Times New Roman" w:cs="Times New Roman"/>
          <w:iCs/>
          <w:sz w:val="24"/>
          <w:szCs w:val="24"/>
          <w:bdr w:val="none" w:sz="0" w:space="0" w:color="auto" w:frame="1"/>
          <w:lang w:eastAsia="en-GH"/>
        </w:rPr>
        <w:t>IEEE Transactions on Vehicular Technology</w:t>
      </w:r>
      <w:r w:rsidRPr="003F2A7B">
        <w:rPr>
          <w:rFonts w:ascii="Times New Roman" w:eastAsia="Times New Roman" w:hAnsi="Times New Roman" w:cs="Times New Roman"/>
          <w:sz w:val="24"/>
          <w:szCs w:val="24"/>
          <w:lang w:eastAsia="en-GH"/>
        </w:rPr>
        <w:t xml:space="preserve">, 68(3), 2624-2639. </w:t>
      </w:r>
      <w:hyperlink r:id="rId50"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https://doi.org/10.1109/TVT.2021.3055333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Handley, M. (2021). Delay is not an option: Low latency routing in space. </w:t>
      </w:r>
      <w:r w:rsidRPr="003F2A7B">
        <w:rPr>
          <w:rFonts w:ascii="Times New Roman" w:eastAsia="Times New Roman" w:hAnsi="Times New Roman" w:cs="Times New Roman"/>
          <w:iCs/>
          <w:sz w:val="24"/>
          <w:szCs w:val="24"/>
          <w:bdr w:val="none" w:sz="0" w:space="0" w:color="auto" w:frame="1"/>
          <w:lang w:eastAsia="en-GH"/>
        </w:rPr>
        <w:t xml:space="preserve">ACM SIGCOMM </w:t>
      </w:r>
      <w:proofErr w:type="spellStart"/>
      <w:r w:rsidRPr="003F2A7B">
        <w:rPr>
          <w:rFonts w:ascii="Times New Roman" w:eastAsia="Times New Roman" w:hAnsi="Times New Roman" w:cs="Times New Roman"/>
          <w:iCs/>
          <w:sz w:val="24"/>
          <w:szCs w:val="24"/>
          <w:bdr w:val="none" w:sz="0" w:space="0" w:color="auto" w:frame="1"/>
          <w:lang w:eastAsia="en-GH"/>
        </w:rPr>
        <w:t>HotNets</w:t>
      </w:r>
      <w:proofErr w:type="spellEnd"/>
      <w:r w:rsidRPr="003F2A7B">
        <w:rPr>
          <w:rFonts w:ascii="Times New Roman" w:eastAsia="Times New Roman" w:hAnsi="Times New Roman" w:cs="Times New Roman"/>
          <w:iCs/>
          <w:sz w:val="24"/>
          <w:szCs w:val="24"/>
          <w:bdr w:val="none" w:sz="0" w:space="0" w:color="auto" w:frame="1"/>
          <w:lang w:eastAsia="en-GH"/>
        </w:rPr>
        <w:t xml:space="preserve"> Workshop</w:t>
      </w:r>
      <w:r w:rsidRPr="003F2A7B">
        <w:rPr>
          <w:rFonts w:ascii="Times New Roman" w:eastAsia="Times New Roman" w:hAnsi="Times New Roman" w:cs="Times New Roman"/>
          <w:sz w:val="24"/>
          <w:szCs w:val="24"/>
          <w:lang w:eastAsia="en-GH"/>
        </w:rPr>
        <w:t xml:space="preserve">, 1-7. </w:t>
      </w:r>
      <w:hyperlink r:id="rId51"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https://doi.org/10.1145/3563766.3564103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Hilbert, M. (2020). Digital divide. </w:t>
      </w:r>
      <w:r w:rsidRPr="003F2A7B">
        <w:rPr>
          <w:rFonts w:ascii="Times New Roman" w:eastAsia="Times New Roman" w:hAnsi="Times New Roman" w:cs="Times New Roman"/>
          <w:iCs/>
          <w:sz w:val="24"/>
          <w:szCs w:val="24"/>
          <w:bdr w:val="none" w:sz="0" w:space="0" w:color="auto" w:frame="1"/>
          <w:lang w:eastAsia="en-GH"/>
        </w:rPr>
        <w:t>International Encyclopedia of the Social &amp; Behavioral Sciences</w:t>
      </w:r>
      <w:r w:rsidRPr="003F2A7B">
        <w:rPr>
          <w:rFonts w:ascii="Times New Roman" w:eastAsia="Times New Roman" w:hAnsi="Times New Roman" w:cs="Times New Roman"/>
          <w:sz w:val="24"/>
          <w:szCs w:val="24"/>
          <w:lang w:eastAsia="en-GH"/>
        </w:rPr>
        <w:t xml:space="preserve">, 2nd ed., 411-416. </w:t>
      </w:r>
      <w:hyperlink r:id="rId52"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https://doi.org/10.1016/B978-0-08-097086-8.95043-0</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Ippolito, L. J. (2017). </w:t>
      </w:r>
      <w:r w:rsidRPr="003F2A7B">
        <w:rPr>
          <w:rFonts w:ascii="Times New Roman" w:eastAsia="Times New Roman" w:hAnsi="Times New Roman" w:cs="Times New Roman"/>
          <w:iCs/>
          <w:sz w:val="24"/>
          <w:szCs w:val="24"/>
          <w:bdr w:val="none" w:sz="0" w:space="0" w:color="auto" w:frame="1"/>
          <w:lang w:eastAsia="en-GH"/>
        </w:rPr>
        <w:t>Satellite communications systems engineering: Atmospheric effects, satellite link design and system performance</w:t>
      </w:r>
      <w:r w:rsidRPr="003F2A7B">
        <w:rPr>
          <w:rFonts w:ascii="Times New Roman" w:eastAsia="Times New Roman" w:hAnsi="Times New Roman" w:cs="Times New Roman"/>
          <w:sz w:val="24"/>
          <w:szCs w:val="24"/>
          <w:lang w:eastAsia="en-GH"/>
        </w:rPr>
        <w:t xml:space="preserve">. Wiley. </w:t>
      </w:r>
      <w:hyperlink r:id="rId53"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https://doi.org/10.1002/9780470748823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Joroughi, V., Vazquez, M. A., &amp; Perez-Neira, A. I. (2021). Precoding in multibeam satellite communications: Present and future challenges. </w:t>
      </w:r>
      <w:r w:rsidRPr="003F2A7B">
        <w:rPr>
          <w:rFonts w:ascii="Times New Roman" w:eastAsia="Times New Roman" w:hAnsi="Times New Roman" w:cs="Times New Roman"/>
          <w:iCs/>
          <w:sz w:val="24"/>
          <w:szCs w:val="24"/>
          <w:bdr w:val="none" w:sz="0" w:space="0" w:color="auto" w:frame="1"/>
          <w:lang w:eastAsia="en-GH"/>
        </w:rPr>
        <w:t>IEEE Wireless Communications</w:t>
      </w:r>
      <w:r w:rsidRPr="003F2A7B">
        <w:rPr>
          <w:rFonts w:ascii="Times New Roman" w:eastAsia="Times New Roman" w:hAnsi="Times New Roman" w:cs="Times New Roman"/>
          <w:sz w:val="24"/>
          <w:szCs w:val="24"/>
          <w:lang w:eastAsia="en-GH"/>
        </w:rPr>
        <w:t xml:space="preserve">, 23(6), 88-95. </w:t>
      </w:r>
      <w:hyperlink r:id="rId54"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https://doi.org/10.1109/MWC.2016.1400202RP</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Kaplan, E. D., &amp; Hegarty, C. J. (2017). </w:t>
      </w:r>
      <w:r w:rsidRPr="003F2A7B">
        <w:rPr>
          <w:rFonts w:ascii="Times New Roman" w:eastAsia="Times New Roman" w:hAnsi="Times New Roman" w:cs="Times New Roman"/>
          <w:iCs/>
          <w:sz w:val="24"/>
          <w:szCs w:val="24"/>
          <w:bdr w:val="none" w:sz="0" w:space="0" w:color="auto" w:frame="1"/>
          <w:lang w:eastAsia="en-GH"/>
        </w:rPr>
        <w:t>Understanding GPS/GNSS: Principles and applications</w:t>
      </w:r>
      <w:r w:rsidRPr="003F2A7B">
        <w:rPr>
          <w:rFonts w:ascii="Times New Roman" w:eastAsia="Times New Roman" w:hAnsi="Times New Roman" w:cs="Times New Roman"/>
          <w:sz w:val="24"/>
          <w:szCs w:val="24"/>
          <w:lang w:eastAsia="en-GH"/>
        </w:rPr>
        <w:t>. Artech House, 3rd ed.</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Khalighi, M. A., &amp; Uysal, M. (2020). Survey on free space optical communication: A communication theory perspective. </w:t>
      </w:r>
      <w:r w:rsidRPr="003F2A7B">
        <w:rPr>
          <w:rFonts w:ascii="Times New Roman" w:eastAsia="Times New Roman" w:hAnsi="Times New Roman" w:cs="Times New Roman"/>
          <w:iCs/>
          <w:sz w:val="24"/>
          <w:szCs w:val="24"/>
          <w:bdr w:val="none" w:sz="0" w:space="0" w:color="auto" w:frame="1"/>
          <w:lang w:eastAsia="en-GH"/>
        </w:rPr>
        <w:t>IEEE Communications Surveys &amp; Tutorials</w:t>
      </w:r>
      <w:r w:rsidRPr="003F2A7B">
        <w:rPr>
          <w:rFonts w:ascii="Times New Roman" w:eastAsia="Times New Roman" w:hAnsi="Times New Roman" w:cs="Times New Roman"/>
          <w:sz w:val="24"/>
          <w:szCs w:val="24"/>
          <w:lang w:eastAsia="en-GH"/>
        </w:rPr>
        <w:t xml:space="preserve">, 16(4), 2231-2258. </w:t>
      </w:r>
      <w:hyperlink r:id="rId55"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https://doi.org/10.1109/COMST.2014.2329500</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Kodheli, O., Lagunas, E., </w:t>
      </w:r>
      <w:proofErr w:type="spellStart"/>
      <w:r w:rsidRPr="003F2A7B">
        <w:rPr>
          <w:rFonts w:ascii="Times New Roman" w:eastAsia="Times New Roman" w:hAnsi="Times New Roman" w:cs="Times New Roman"/>
          <w:sz w:val="24"/>
          <w:szCs w:val="24"/>
          <w:lang w:eastAsia="en-GH"/>
        </w:rPr>
        <w:t>Maturo</w:t>
      </w:r>
      <w:proofErr w:type="spellEnd"/>
      <w:r w:rsidRPr="003F2A7B">
        <w:rPr>
          <w:rFonts w:ascii="Times New Roman" w:eastAsia="Times New Roman" w:hAnsi="Times New Roman" w:cs="Times New Roman"/>
          <w:sz w:val="24"/>
          <w:szCs w:val="24"/>
          <w:lang w:eastAsia="en-GH"/>
        </w:rPr>
        <w:t xml:space="preserve">, N., Sharma, S. K., Shankar, B., Montoya, J. F. M., Duncan, J. C. M., </w:t>
      </w:r>
      <w:proofErr w:type="spellStart"/>
      <w:r w:rsidRPr="003F2A7B">
        <w:rPr>
          <w:rFonts w:ascii="Times New Roman" w:eastAsia="Times New Roman" w:hAnsi="Times New Roman" w:cs="Times New Roman"/>
          <w:sz w:val="24"/>
          <w:szCs w:val="24"/>
          <w:lang w:eastAsia="en-GH"/>
        </w:rPr>
        <w:t>Spagenberg</w:t>
      </w:r>
      <w:proofErr w:type="spellEnd"/>
      <w:r w:rsidRPr="003F2A7B">
        <w:rPr>
          <w:rFonts w:ascii="Times New Roman" w:eastAsia="Times New Roman" w:hAnsi="Times New Roman" w:cs="Times New Roman"/>
          <w:sz w:val="24"/>
          <w:szCs w:val="24"/>
          <w:lang w:eastAsia="en-GH"/>
        </w:rPr>
        <w:t xml:space="preserve">, H., </w:t>
      </w:r>
      <w:proofErr w:type="spellStart"/>
      <w:r w:rsidRPr="003F2A7B">
        <w:rPr>
          <w:rFonts w:ascii="Times New Roman" w:eastAsia="Times New Roman" w:hAnsi="Times New Roman" w:cs="Times New Roman"/>
          <w:sz w:val="24"/>
          <w:szCs w:val="24"/>
          <w:lang w:eastAsia="en-GH"/>
        </w:rPr>
        <w:t>Chatzinotas</w:t>
      </w:r>
      <w:proofErr w:type="spellEnd"/>
      <w:r w:rsidRPr="003F2A7B">
        <w:rPr>
          <w:rFonts w:ascii="Times New Roman" w:eastAsia="Times New Roman" w:hAnsi="Times New Roman" w:cs="Times New Roman"/>
          <w:sz w:val="24"/>
          <w:szCs w:val="24"/>
          <w:lang w:eastAsia="en-GH"/>
        </w:rPr>
        <w:t xml:space="preserve">, S., </w:t>
      </w:r>
      <w:proofErr w:type="spellStart"/>
      <w:r w:rsidRPr="003F2A7B">
        <w:rPr>
          <w:rFonts w:ascii="Times New Roman" w:eastAsia="Times New Roman" w:hAnsi="Times New Roman" w:cs="Times New Roman"/>
          <w:sz w:val="24"/>
          <w:szCs w:val="24"/>
          <w:lang w:eastAsia="en-GH"/>
        </w:rPr>
        <w:t>Kisseleff</w:t>
      </w:r>
      <w:proofErr w:type="spellEnd"/>
      <w:r w:rsidRPr="003F2A7B">
        <w:rPr>
          <w:rFonts w:ascii="Times New Roman" w:eastAsia="Times New Roman" w:hAnsi="Times New Roman" w:cs="Times New Roman"/>
          <w:sz w:val="24"/>
          <w:szCs w:val="24"/>
          <w:lang w:eastAsia="en-GH"/>
        </w:rPr>
        <w:t xml:space="preserve">, S., </w:t>
      </w:r>
      <w:proofErr w:type="spellStart"/>
      <w:r w:rsidRPr="003F2A7B">
        <w:rPr>
          <w:rFonts w:ascii="Times New Roman" w:eastAsia="Times New Roman" w:hAnsi="Times New Roman" w:cs="Times New Roman"/>
          <w:sz w:val="24"/>
          <w:szCs w:val="24"/>
          <w:lang w:eastAsia="en-GH"/>
        </w:rPr>
        <w:t>Querol</w:t>
      </w:r>
      <w:proofErr w:type="spellEnd"/>
      <w:r w:rsidRPr="003F2A7B">
        <w:rPr>
          <w:rFonts w:ascii="Times New Roman" w:eastAsia="Times New Roman" w:hAnsi="Times New Roman" w:cs="Times New Roman"/>
          <w:sz w:val="24"/>
          <w:szCs w:val="24"/>
          <w:lang w:eastAsia="en-GH"/>
        </w:rPr>
        <w:t xml:space="preserve">, J., &amp; Lei, L. (2021). Satellite communications in the new space era: A survey and future challenges. </w:t>
      </w:r>
      <w:r w:rsidRPr="003F2A7B">
        <w:rPr>
          <w:rFonts w:ascii="Times New Roman" w:eastAsia="Times New Roman" w:hAnsi="Times New Roman" w:cs="Times New Roman"/>
          <w:iCs/>
          <w:sz w:val="24"/>
          <w:szCs w:val="24"/>
          <w:bdr w:val="none" w:sz="0" w:space="0" w:color="auto" w:frame="1"/>
          <w:lang w:eastAsia="en-GH"/>
        </w:rPr>
        <w:t>IEEE Communications Surveys &amp; Tutorials</w:t>
      </w:r>
      <w:r w:rsidRPr="003F2A7B">
        <w:rPr>
          <w:rFonts w:ascii="Times New Roman" w:eastAsia="Times New Roman" w:hAnsi="Times New Roman" w:cs="Times New Roman"/>
          <w:sz w:val="24"/>
          <w:szCs w:val="24"/>
          <w:lang w:eastAsia="en-GH"/>
        </w:rPr>
        <w:t xml:space="preserve">, 23(1), 70-109. </w:t>
      </w:r>
      <w:hyperlink r:id="rId56"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https://doi.org/10.1109/COMST.2020.3028247</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Kota, S. L., </w:t>
      </w:r>
      <w:proofErr w:type="spellStart"/>
      <w:r w:rsidRPr="003F2A7B">
        <w:rPr>
          <w:rFonts w:ascii="Times New Roman" w:eastAsia="Times New Roman" w:hAnsi="Times New Roman" w:cs="Times New Roman"/>
          <w:sz w:val="24"/>
          <w:szCs w:val="24"/>
          <w:lang w:eastAsia="en-GH"/>
        </w:rPr>
        <w:t>Pahlavan</w:t>
      </w:r>
      <w:proofErr w:type="spellEnd"/>
      <w:r w:rsidRPr="003F2A7B">
        <w:rPr>
          <w:rFonts w:ascii="Times New Roman" w:eastAsia="Times New Roman" w:hAnsi="Times New Roman" w:cs="Times New Roman"/>
          <w:sz w:val="24"/>
          <w:szCs w:val="24"/>
          <w:lang w:eastAsia="en-GH"/>
        </w:rPr>
        <w:t xml:space="preserve">, K., &amp; </w:t>
      </w:r>
      <w:proofErr w:type="spellStart"/>
      <w:r w:rsidRPr="003F2A7B">
        <w:rPr>
          <w:rFonts w:ascii="Times New Roman" w:eastAsia="Times New Roman" w:hAnsi="Times New Roman" w:cs="Times New Roman"/>
          <w:sz w:val="24"/>
          <w:szCs w:val="24"/>
          <w:lang w:eastAsia="en-GH"/>
        </w:rPr>
        <w:t>Leppänen</w:t>
      </w:r>
      <w:proofErr w:type="spellEnd"/>
      <w:r w:rsidRPr="003F2A7B">
        <w:rPr>
          <w:rFonts w:ascii="Times New Roman" w:eastAsia="Times New Roman" w:hAnsi="Times New Roman" w:cs="Times New Roman"/>
          <w:sz w:val="24"/>
          <w:szCs w:val="24"/>
          <w:lang w:eastAsia="en-GH"/>
        </w:rPr>
        <w:t xml:space="preserve">, P. A. (2020). </w:t>
      </w:r>
      <w:r w:rsidRPr="003F2A7B">
        <w:rPr>
          <w:rFonts w:ascii="Times New Roman" w:eastAsia="Times New Roman" w:hAnsi="Times New Roman" w:cs="Times New Roman"/>
          <w:iCs/>
          <w:sz w:val="24"/>
          <w:szCs w:val="24"/>
          <w:bdr w:val="none" w:sz="0" w:space="0" w:color="auto" w:frame="1"/>
          <w:lang w:eastAsia="en-GH"/>
        </w:rPr>
        <w:t>Broadband satellite communications for Internet access</w:t>
      </w:r>
      <w:r w:rsidRPr="003F2A7B">
        <w:rPr>
          <w:rFonts w:ascii="Times New Roman" w:eastAsia="Times New Roman" w:hAnsi="Times New Roman" w:cs="Times New Roman"/>
          <w:sz w:val="24"/>
          <w:szCs w:val="24"/>
          <w:lang w:eastAsia="en-GH"/>
        </w:rPr>
        <w:t xml:space="preserve">. Springer. </w:t>
      </w:r>
      <w:hyperlink r:id="rId57"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https://doi.org/10.1007/b117507</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lastRenderedPageBreak/>
        <w:t xml:space="preserve">Kumar, A. (2018). </w:t>
      </w:r>
      <w:r w:rsidRPr="003F2A7B">
        <w:rPr>
          <w:rFonts w:ascii="Times New Roman" w:eastAsia="Times New Roman" w:hAnsi="Times New Roman" w:cs="Times New Roman"/>
          <w:iCs/>
          <w:sz w:val="24"/>
          <w:szCs w:val="24"/>
          <w:bdr w:val="none" w:sz="0" w:space="0" w:color="auto" w:frame="1"/>
          <w:lang w:eastAsia="en-GH"/>
        </w:rPr>
        <w:t>Mobile broadcasting with WiMAX: Principles, technology, and applications</w:t>
      </w:r>
      <w:r w:rsidRPr="003F2A7B">
        <w:rPr>
          <w:rFonts w:ascii="Times New Roman" w:eastAsia="Times New Roman" w:hAnsi="Times New Roman" w:cs="Times New Roman"/>
          <w:sz w:val="24"/>
          <w:szCs w:val="24"/>
          <w:lang w:eastAsia="en-GH"/>
        </w:rPr>
        <w:t>. Focal Press.</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proofErr w:type="spellStart"/>
      <w:r w:rsidRPr="003F2A7B">
        <w:rPr>
          <w:rFonts w:ascii="Times New Roman" w:eastAsia="Times New Roman" w:hAnsi="Times New Roman" w:cs="Times New Roman"/>
          <w:sz w:val="24"/>
          <w:szCs w:val="24"/>
          <w:lang w:eastAsia="en-GH"/>
        </w:rPr>
        <w:t>Kymissis</w:t>
      </w:r>
      <w:proofErr w:type="spellEnd"/>
      <w:r w:rsidRPr="003F2A7B">
        <w:rPr>
          <w:rFonts w:ascii="Times New Roman" w:eastAsia="Times New Roman" w:hAnsi="Times New Roman" w:cs="Times New Roman"/>
          <w:sz w:val="24"/>
          <w:szCs w:val="24"/>
          <w:lang w:eastAsia="en-GH"/>
        </w:rPr>
        <w:t xml:space="preserve">, I. (2020). </w:t>
      </w:r>
      <w:r w:rsidRPr="003F2A7B">
        <w:rPr>
          <w:rFonts w:ascii="Times New Roman" w:eastAsia="Times New Roman" w:hAnsi="Times New Roman" w:cs="Times New Roman"/>
          <w:iCs/>
          <w:sz w:val="24"/>
          <w:szCs w:val="24"/>
          <w:bdr w:val="none" w:sz="0" w:space="0" w:color="auto" w:frame="1"/>
          <w:lang w:eastAsia="en-GH"/>
        </w:rPr>
        <w:t>Emerging technologies for 5G and beyond</w:t>
      </w:r>
      <w:r w:rsidRPr="003F2A7B">
        <w:rPr>
          <w:rFonts w:ascii="Times New Roman" w:eastAsia="Times New Roman" w:hAnsi="Times New Roman" w:cs="Times New Roman"/>
          <w:sz w:val="24"/>
          <w:szCs w:val="24"/>
          <w:lang w:eastAsia="en-GH"/>
        </w:rPr>
        <w:t xml:space="preserve">. Wiley. </w:t>
      </w:r>
    </w:p>
    <w:p w:rsidR="00264712" w:rsidRPr="003F2A7B" w:rsidRDefault="00A71B9B" w:rsidP="002A658F">
      <w:pPr>
        <w:shd w:val="clear" w:color="auto" w:fill="FFFFFF"/>
        <w:spacing w:line="360" w:lineRule="auto"/>
        <w:textAlignment w:val="baseline"/>
        <w:rPr>
          <w:rFonts w:ascii="Times New Roman" w:eastAsia="Times New Roman" w:hAnsi="Times New Roman" w:cs="Times New Roman"/>
          <w:sz w:val="24"/>
          <w:szCs w:val="24"/>
          <w:lang w:eastAsia="en-GH"/>
        </w:rPr>
      </w:pPr>
      <w:hyperlink r:id="rId58" w:tgtFrame="_blank" w:history="1">
        <w:r w:rsidR="00264712" w:rsidRPr="003F2A7B">
          <w:rPr>
            <w:rFonts w:ascii="Times New Roman" w:eastAsia="Times New Roman" w:hAnsi="Times New Roman" w:cs="Times New Roman"/>
            <w:color w:val="1783FF"/>
            <w:sz w:val="24"/>
            <w:szCs w:val="24"/>
            <w:u w:val="single"/>
            <w:bdr w:val="none" w:sz="0" w:space="0" w:color="auto" w:frame="1"/>
            <w:lang w:eastAsia="en-GH"/>
          </w:rPr>
          <w:t>https://doi.org/10.1002/9781119475302</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proofErr w:type="spellStart"/>
      <w:r w:rsidRPr="003F2A7B">
        <w:rPr>
          <w:rFonts w:ascii="Times New Roman" w:eastAsia="Times New Roman" w:hAnsi="Times New Roman" w:cs="Times New Roman"/>
          <w:sz w:val="24"/>
          <w:szCs w:val="24"/>
          <w:lang w:eastAsia="en-GH"/>
        </w:rPr>
        <w:t>Liou</w:t>
      </w:r>
      <w:proofErr w:type="spellEnd"/>
      <w:r w:rsidRPr="003F2A7B">
        <w:rPr>
          <w:rFonts w:ascii="Times New Roman" w:eastAsia="Times New Roman" w:hAnsi="Times New Roman" w:cs="Times New Roman"/>
          <w:sz w:val="24"/>
          <w:szCs w:val="24"/>
          <w:lang w:eastAsia="en-GH"/>
        </w:rPr>
        <w:t xml:space="preserve">, J. C., &amp; Johnson, N. L. (2020). </w:t>
      </w:r>
      <w:r w:rsidRPr="003F2A7B">
        <w:rPr>
          <w:rFonts w:ascii="Times New Roman" w:eastAsia="Times New Roman" w:hAnsi="Times New Roman" w:cs="Times New Roman"/>
          <w:iCs/>
          <w:sz w:val="24"/>
          <w:szCs w:val="24"/>
          <w:bdr w:val="none" w:sz="0" w:space="0" w:color="auto" w:frame="1"/>
          <w:lang w:eastAsia="en-GH"/>
        </w:rPr>
        <w:t>Risks in space from orbiting debris</w:t>
      </w:r>
      <w:r w:rsidRPr="003F2A7B">
        <w:rPr>
          <w:rFonts w:ascii="Times New Roman" w:eastAsia="Times New Roman" w:hAnsi="Times New Roman" w:cs="Times New Roman"/>
          <w:sz w:val="24"/>
          <w:szCs w:val="24"/>
          <w:lang w:eastAsia="en-GH"/>
        </w:rPr>
        <w:t xml:space="preserve">. Science, 311(5759), 340-341. </w:t>
      </w:r>
    </w:p>
    <w:p w:rsidR="00264712" w:rsidRPr="003F2A7B" w:rsidRDefault="00A71B9B" w:rsidP="002A658F">
      <w:pPr>
        <w:shd w:val="clear" w:color="auto" w:fill="FFFFFF"/>
        <w:spacing w:line="360" w:lineRule="auto"/>
        <w:textAlignment w:val="baseline"/>
        <w:rPr>
          <w:rFonts w:ascii="Times New Roman" w:eastAsia="Times New Roman" w:hAnsi="Times New Roman" w:cs="Times New Roman"/>
          <w:sz w:val="24"/>
          <w:szCs w:val="24"/>
          <w:lang w:eastAsia="en-GH"/>
        </w:rPr>
      </w:pPr>
      <w:hyperlink r:id="rId59" w:tgtFrame="_blank" w:history="1">
        <w:r w:rsidR="00264712" w:rsidRPr="003F2A7B">
          <w:rPr>
            <w:rFonts w:ascii="Times New Roman" w:eastAsia="Times New Roman" w:hAnsi="Times New Roman" w:cs="Times New Roman"/>
            <w:color w:val="1783FF"/>
            <w:sz w:val="24"/>
            <w:szCs w:val="24"/>
            <w:u w:val="single"/>
            <w:bdr w:val="none" w:sz="0" w:space="0" w:color="auto" w:frame="1"/>
            <w:lang w:eastAsia="en-GH"/>
          </w:rPr>
          <w:t>https://doi.org/10.1126/science.1121337</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Lutz, E. (2020). </w:t>
      </w:r>
      <w:r w:rsidRPr="003F2A7B">
        <w:rPr>
          <w:rFonts w:ascii="Times New Roman" w:eastAsia="Times New Roman" w:hAnsi="Times New Roman" w:cs="Times New Roman"/>
          <w:iCs/>
          <w:sz w:val="24"/>
          <w:szCs w:val="24"/>
          <w:bdr w:val="none" w:sz="0" w:space="0" w:color="auto" w:frame="1"/>
          <w:lang w:eastAsia="en-GH"/>
        </w:rPr>
        <w:t>Issues in satellite personal communication systems: The road to 5G</w:t>
      </w:r>
      <w:r w:rsidRPr="003F2A7B">
        <w:rPr>
          <w:rFonts w:ascii="Times New Roman" w:eastAsia="Times New Roman" w:hAnsi="Times New Roman" w:cs="Times New Roman"/>
          <w:sz w:val="24"/>
          <w:szCs w:val="24"/>
          <w:lang w:eastAsia="en-GH"/>
        </w:rPr>
        <w:t xml:space="preserve">. IEEE Wireless Communications, 24(5), 6-8. </w:t>
      </w:r>
      <w:hyperlink r:id="rId60"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https://doi.org/10.1109/MWC.2017.1600344</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proofErr w:type="spellStart"/>
      <w:r w:rsidRPr="003F2A7B">
        <w:rPr>
          <w:rFonts w:ascii="Times New Roman" w:eastAsia="Times New Roman" w:hAnsi="Times New Roman" w:cs="Times New Roman"/>
          <w:sz w:val="24"/>
          <w:szCs w:val="24"/>
          <w:lang w:eastAsia="en-GH"/>
        </w:rPr>
        <w:t>Maral</w:t>
      </w:r>
      <w:proofErr w:type="spellEnd"/>
      <w:r w:rsidRPr="003F2A7B">
        <w:rPr>
          <w:rFonts w:ascii="Times New Roman" w:eastAsia="Times New Roman" w:hAnsi="Times New Roman" w:cs="Times New Roman"/>
          <w:sz w:val="24"/>
          <w:szCs w:val="24"/>
          <w:lang w:eastAsia="en-GH"/>
        </w:rPr>
        <w:t xml:space="preserve">, G., &amp; Bousquet, M. (2021). </w:t>
      </w:r>
      <w:r w:rsidRPr="003F2A7B">
        <w:rPr>
          <w:rFonts w:ascii="Times New Roman" w:eastAsia="Times New Roman" w:hAnsi="Times New Roman" w:cs="Times New Roman"/>
          <w:iCs/>
          <w:sz w:val="24"/>
          <w:szCs w:val="24"/>
          <w:bdr w:val="none" w:sz="0" w:space="0" w:color="auto" w:frame="1"/>
          <w:lang w:eastAsia="en-GH"/>
        </w:rPr>
        <w:t>Satellite communications systems: Systems, techniques and technology</w:t>
      </w:r>
      <w:r w:rsidRPr="003F2A7B">
        <w:rPr>
          <w:rFonts w:ascii="Times New Roman" w:eastAsia="Times New Roman" w:hAnsi="Times New Roman" w:cs="Times New Roman"/>
          <w:sz w:val="24"/>
          <w:szCs w:val="24"/>
          <w:lang w:eastAsia="en-GH"/>
        </w:rPr>
        <w:t xml:space="preserve">. Wiley, 6th ed. </w:t>
      </w:r>
      <w:hyperlink r:id="rId61"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https://doi.org/10.1002/9781119341973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proofErr w:type="spellStart"/>
      <w:r w:rsidRPr="003F2A7B">
        <w:rPr>
          <w:rFonts w:ascii="Times New Roman" w:eastAsia="Times New Roman" w:hAnsi="Times New Roman" w:cs="Times New Roman"/>
          <w:sz w:val="24"/>
          <w:szCs w:val="24"/>
          <w:lang w:eastAsia="en-GH"/>
        </w:rPr>
        <w:t>Mazzucato</w:t>
      </w:r>
      <w:proofErr w:type="spellEnd"/>
      <w:r w:rsidRPr="003F2A7B">
        <w:rPr>
          <w:rFonts w:ascii="Times New Roman" w:eastAsia="Times New Roman" w:hAnsi="Times New Roman" w:cs="Times New Roman"/>
          <w:sz w:val="24"/>
          <w:szCs w:val="24"/>
          <w:lang w:eastAsia="en-GH"/>
        </w:rPr>
        <w:t xml:space="preserve">, M., </w:t>
      </w:r>
      <w:proofErr w:type="spellStart"/>
      <w:r w:rsidRPr="003F2A7B">
        <w:rPr>
          <w:rFonts w:ascii="Times New Roman" w:eastAsia="Times New Roman" w:hAnsi="Times New Roman" w:cs="Times New Roman"/>
          <w:sz w:val="24"/>
          <w:szCs w:val="24"/>
          <w:lang w:eastAsia="en-GH"/>
        </w:rPr>
        <w:t>Kattel</w:t>
      </w:r>
      <w:proofErr w:type="spellEnd"/>
      <w:r w:rsidRPr="003F2A7B">
        <w:rPr>
          <w:rFonts w:ascii="Times New Roman" w:eastAsia="Times New Roman" w:hAnsi="Times New Roman" w:cs="Times New Roman"/>
          <w:sz w:val="24"/>
          <w:szCs w:val="24"/>
          <w:lang w:eastAsia="en-GH"/>
        </w:rPr>
        <w:t xml:space="preserve">, R., &amp; Ryan-Collins, J. (2021). </w:t>
      </w:r>
      <w:r w:rsidRPr="003F2A7B">
        <w:rPr>
          <w:rFonts w:ascii="Times New Roman" w:eastAsia="Times New Roman" w:hAnsi="Times New Roman" w:cs="Times New Roman"/>
          <w:iCs/>
          <w:sz w:val="24"/>
          <w:szCs w:val="24"/>
          <w:bdr w:val="none" w:sz="0" w:space="0" w:color="auto" w:frame="1"/>
          <w:lang w:eastAsia="en-GH"/>
        </w:rPr>
        <w:t>Rethinking the state in the age of satellite mega-constellations</w:t>
      </w:r>
      <w:r w:rsidRPr="003F2A7B">
        <w:rPr>
          <w:rFonts w:ascii="Times New Roman" w:eastAsia="Times New Roman" w:hAnsi="Times New Roman" w:cs="Times New Roman"/>
          <w:sz w:val="24"/>
          <w:szCs w:val="24"/>
          <w:lang w:eastAsia="en-GH"/>
        </w:rPr>
        <w:t>. UCL Institute for Innovation and Public Purpose Working Paper.</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Mitchell, R., &amp; Ingalsbe, A. (2020). </w:t>
      </w:r>
      <w:r w:rsidRPr="003F2A7B">
        <w:rPr>
          <w:rFonts w:ascii="Times New Roman" w:eastAsia="Times New Roman" w:hAnsi="Times New Roman" w:cs="Times New Roman"/>
          <w:iCs/>
          <w:sz w:val="24"/>
          <w:szCs w:val="24"/>
          <w:bdr w:val="none" w:sz="0" w:space="0" w:color="auto" w:frame="1"/>
          <w:lang w:eastAsia="en-GH"/>
        </w:rPr>
        <w:t>Securing the space supply chain</w:t>
      </w:r>
      <w:r w:rsidRPr="003F2A7B">
        <w:rPr>
          <w:rFonts w:ascii="Times New Roman" w:eastAsia="Times New Roman" w:hAnsi="Times New Roman" w:cs="Times New Roman"/>
          <w:sz w:val="24"/>
          <w:szCs w:val="24"/>
          <w:lang w:eastAsia="en-GH"/>
        </w:rPr>
        <w:t>. Aerospace Corporation.</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Moreira, A., Prats-</w:t>
      </w:r>
      <w:proofErr w:type="spellStart"/>
      <w:r w:rsidRPr="003F2A7B">
        <w:rPr>
          <w:rFonts w:ascii="Times New Roman" w:eastAsia="Times New Roman" w:hAnsi="Times New Roman" w:cs="Times New Roman"/>
          <w:sz w:val="24"/>
          <w:szCs w:val="24"/>
          <w:lang w:eastAsia="en-GH"/>
        </w:rPr>
        <w:t>Iraola</w:t>
      </w:r>
      <w:proofErr w:type="spellEnd"/>
      <w:r w:rsidRPr="003F2A7B">
        <w:rPr>
          <w:rFonts w:ascii="Times New Roman" w:eastAsia="Times New Roman" w:hAnsi="Times New Roman" w:cs="Times New Roman"/>
          <w:sz w:val="24"/>
          <w:szCs w:val="24"/>
          <w:lang w:eastAsia="en-GH"/>
        </w:rPr>
        <w:t xml:space="preserve">, P., Younis, M., Krieger, G., </w:t>
      </w:r>
      <w:proofErr w:type="spellStart"/>
      <w:r w:rsidRPr="003F2A7B">
        <w:rPr>
          <w:rFonts w:ascii="Times New Roman" w:eastAsia="Times New Roman" w:hAnsi="Times New Roman" w:cs="Times New Roman"/>
          <w:sz w:val="24"/>
          <w:szCs w:val="24"/>
          <w:lang w:eastAsia="en-GH"/>
        </w:rPr>
        <w:t>Hajnsek</w:t>
      </w:r>
      <w:proofErr w:type="spellEnd"/>
      <w:r w:rsidRPr="003F2A7B">
        <w:rPr>
          <w:rFonts w:ascii="Times New Roman" w:eastAsia="Times New Roman" w:hAnsi="Times New Roman" w:cs="Times New Roman"/>
          <w:sz w:val="24"/>
          <w:szCs w:val="24"/>
          <w:lang w:eastAsia="en-GH"/>
        </w:rPr>
        <w:t xml:space="preserve">, I., &amp; Papathanassiou, K. P. (2021). A tutorial on synthetic aperture radar. </w:t>
      </w:r>
      <w:r w:rsidRPr="003F2A7B">
        <w:rPr>
          <w:rFonts w:ascii="Times New Roman" w:eastAsia="Times New Roman" w:hAnsi="Times New Roman" w:cs="Times New Roman"/>
          <w:iCs/>
          <w:sz w:val="24"/>
          <w:szCs w:val="24"/>
          <w:bdr w:val="none" w:sz="0" w:space="0" w:color="auto" w:frame="1"/>
          <w:lang w:eastAsia="en-GH"/>
        </w:rPr>
        <w:t>IEEE Geoscience and Remote Sensing Magazine</w:t>
      </w:r>
      <w:r w:rsidRPr="003F2A7B">
        <w:rPr>
          <w:rFonts w:ascii="Times New Roman" w:eastAsia="Times New Roman" w:hAnsi="Times New Roman" w:cs="Times New Roman"/>
          <w:sz w:val="24"/>
          <w:szCs w:val="24"/>
          <w:lang w:eastAsia="en-GH"/>
        </w:rPr>
        <w:t xml:space="preserve">, 1(1), 6-43. </w:t>
      </w:r>
      <w:hyperlink r:id="rId62"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https://doi.org/10.1109/MGRS.2013.2248301</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Navas, I. M., Ruggieri, M., &amp; </w:t>
      </w:r>
      <w:proofErr w:type="spellStart"/>
      <w:r w:rsidRPr="003F2A7B">
        <w:rPr>
          <w:rFonts w:ascii="Times New Roman" w:eastAsia="Times New Roman" w:hAnsi="Times New Roman" w:cs="Times New Roman"/>
          <w:sz w:val="24"/>
          <w:szCs w:val="24"/>
          <w:lang w:eastAsia="en-GH"/>
        </w:rPr>
        <w:t>Sacchi</w:t>
      </w:r>
      <w:proofErr w:type="spellEnd"/>
      <w:r w:rsidRPr="003F2A7B">
        <w:rPr>
          <w:rFonts w:ascii="Times New Roman" w:eastAsia="Times New Roman" w:hAnsi="Times New Roman" w:cs="Times New Roman"/>
          <w:sz w:val="24"/>
          <w:szCs w:val="24"/>
          <w:lang w:eastAsia="en-GH"/>
        </w:rPr>
        <w:t xml:space="preserve">, C. (2020). Satellite communications for precision agriculture: A review. </w:t>
      </w:r>
      <w:r w:rsidRPr="003F2A7B">
        <w:rPr>
          <w:rFonts w:ascii="Times New Roman" w:eastAsia="Times New Roman" w:hAnsi="Times New Roman" w:cs="Times New Roman"/>
          <w:iCs/>
          <w:sz w:val="24"/>
          <w:szCs w:val="24"/>
          <w:bdr w:val="none" w:sz="0" w:space="0" w:color="auto" w:frame="1"/>
          <w:lang w:eastAsia="en-GH"/>
        </w:rPr>
        <w:t>IEEE Access</w:t>
      </w:r>
      <w:r w:rsidRPr="003F2A7B">
        <w:rPr>
          <w:rFonts w:ascii="Times New Roman" w:eastAsia="Times New Roman" w:hAnsi="Times New Roman" w:cs="Times New Roman"/>
          <w:sz w:val="24"/>
          <w:szCs w:val="24"/>
          <w:lang w:eastAsia="en-GH"/>
        </w:rPr>
        <w:t xml:space="preserve">, 8, 145435-145456. </w:t>
      </w:r>
      <w:hyperlink r:id="rId63"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https://doi.org/10.1109/ACCESS.2020.3014567</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Oughton, E. J., Russell, T., &amp; Frias, Z. (2021). Prospective costs of a LEO-based global broadband network. </w:t>
      </w:r>
      <w:r w:rsidRPr="003F2A7B">
        <w:rPr>
          <w:rFonts w:ascii="Times New Roman" w:eastAsia="Times New Roman" w:hAnsi="Times New Roman" w:cs="Times New Roman"/>
          <w:iCs/>
          <w:sz w:val="24"/>
          <w:szCs w:val="24"/>
          <w:bdr w:val="none" w:sz="0" w:space="0" w:color="auto" w:frame="1"/>
          <w:lang w:eastAsia="en-GH"/>
        </w:rPr>
        <w:t>Telecommunications Policy</w:t>
      </w:r>
      <w:r w:rsidRPr="003F2A7B">
        <w:rPr>
          <w:rFonts w:ascii="Times New Roman" w:eastAsia="Times New Roman" w:hAnsi="Times New Roman" w:cs="Times New Roman"/>
          <w:sz w:val="24"/>
          <w:szCs w:val="24"/>
          <w:lang w:eastAsia="en-GH"/>
        </w:rPr>
        <w:t xml:space="preserve">, 45(8), 102136. </w:t>
      </w:r>
      <w:hyperlink r:id="rId64"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https://doi.org/10.1016/j.telpol.2021.102136</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Panagopoulos, A. D., Arapoglou, P. D. M., &amp; </w:t>
      </w:r>
      <w:proofErr w:type="spellStart"/>
      <w:r w:rsidRPr="003F2A7B">
        <w:rPr>
          <w:rFonts w:ascii="Times New Roman" w:eastAsia="Times New Roman" w:hAnsi="Times New Roman" w:cs="Times New Roman"/>
          <w:sz w:val="24"/>
          <w:szCs w:val="24"/>
          <w:lang w:eastAsia="en-GH"/>
        </w:rPr>
        <w:t>Cottis</w:t>
      </w:r>
      <w:proofErr w:type="spellEnd"/>
      <w:r w:rsidRPr="003F2A7B">
        <w:rPr>
          <w:rFonts w:ascii="Times New Roman" w:eastAsia="Times New Roman" w:hAnsi="Times New Roman" w:cs="Times New Roman"/>
          <w:sz w:val="24"/>
          <w:szCs w:val="24"/>
          <w:lang w:eastAsia="en-GH"/>
        </w:rPr>
        <w:t xml:space="preserve">, P. G. (2020). Satellite communications at Ku, Ka, and V bands: Propagation impairments and mitigation techniques. </w:t>
      </w:r>
      <w:r w:rsidRPr="003F2A7B">
        <w:rPr>
          <w:rFonts w:ascii="Times New Roman" w:eastAsia="Times New Roman" w:hAnsi="Times New Roman" w:cs="Times New Roman"/>
          <w:iCs/>
          <w:sz w:val="24"/>
          <w:szCs w:val="24"/>
          <w:bdr w:val="none" w:sz="0" w:space="0" w:color="auto" w:frame="1"/>
          <w:lang w:eastAsia="en-GH"/>
        </w:rPr>
        <w:t>IEEE Communications Surveys &amp; Tutorials</w:t>
      </w:r>
      <w:r w:rsidRPr="003F2A7B">
        <w:rPr>
          <w:rFonts w:ascii="Times New Roman" w:eastAsia="Times New Roman" w:hAnsi="Times New Roman" w:cs="Times New Roman"/>
          <w:sz w:val="24"/>
          <w:szCs w:val="24"/>
          <w:lang w:eastAsia="en-GH"/>
        </w:rPr>
        <w:t xml:space="preserve">, 6(3), 2-14. </w:t>
      </w:r>
      <w:hyperlink r:id="rId65"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https://doi.org/10.1109/COMST.2004.5342290</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Paradiso, J. A., </w:t>
      </w:r>
      <w:proofErr w:type="spellStart"/>
      <w:r w:rsidRPr="003F2A7B">
        <w:rPr>
          <w:rFonts w:ascii="Times New Roman" w:eastAsia="Times New Roman" w:hAnsi="Times New Roman" w:cs="Times New Roman"/>
          <w:sz w:val="24"/>
          <w:szCs w:val="24"/>
          <w:lang w:eastAsia="en-GH"/>
        </w:rPr>
        <w:t>Starner</w:t>
      </w:r>
      <w:proofErr w:type="spellEnd"/>
      <w:r w:rsidRPr="003F2A7B">
        <w:rPr>
          <w:rFonts w:ascii="Times New Roman" w:eastAsia="Times New Roman" w:hAnsi="Times New Roman" w:cs="Times New Roman"/>
          <w:sz w:val="24"/>
          <w:szCs w:val="24"/>
          <w:lang w:eastAsia="en-GH"/>
        </w:rPr>
        <w:t xml:space="preserve">, T., Haque, U., &amp; </w:t>
      </w:r>
      <w:proofErr w:type="spellStart"/>
      <w:r w:rsidRPr="003F2A7B">
        <w:rPr>
          <w:rFonts w:ascii="Times New Roman" w:eastAsia="Times New Roman" w:hAnsi="Times New Roman" w:cs="Times New Roman"/>
          <w:sz w:val="24"/>
          <w:szCs w:val="24"/>
          <w:lang w:eastAsia="en-GH"/>
        </w:rPr>
        <w:t>Khushaba</w:t>
      </w:r>
      <w:proofErr w:type="spellEnd"/>
      <w:r w:rsidRPr="003F2A7B">
        <w:rPr>
          <w:rFonts w:ascii="Times New Roman" w:eastAsia="Times New Roman" w:hAnsi="Times New Roman" w:cs="Times New Roman"/>
          <w:sz w:val="24"/>
          <w:szCs w:val="24"/>
          <w:lang w:eastAsia="en-GH"/>
        </w:rPr>
        <w:t xml:space="preserve">, R. N. (2020). </w:t>
      </w:r>
      <w:r w:rsidRPr="003F2A7B">
        <w:rPr>
          <w:rFonts w:ascii="Times New Roman" w:eastAsia="Times New Roman" w:hAnsi="Times New Roman" w:cs="Times New Roman"/>
          <w:iCs/>
          <w:sz w:val="24"/>
          <w:szCs w:val="24"/>
          <w:bdr w:val="none" w:sz="0" w:space="0" w:color="auto" w:frame="1"/>
          <w:lang w:eastAsia="en-GH"/>
        </w:rPr>
        <w:t>Sensors and systems for environmental sensing and sustainability</w:t>
      </w:r>
      <w:r w:rsidRPr="003F2A7B">
        <w:rPr>
          <w:rFonts w:ascii="Times New Roman" w:eastAsia="Times New Roman" w:hAnsi="Times New Roman" w:cs="Times New Roman"/>
          <w:sz w:val="24"/>
          <w:szCs w:val="24"/>
          <w:lang w:eastAsia="en-GH"/>
        </w:rPr>
        <w:t>. IEEE Pervasive Computing, 19(1), 18-21.</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Pathak, P. H., &amp; Pal, A. (2021). </w:t>
      </w:r>
      <w:r w:rsidRPr="003F2A7B">
        <w:rPr>
          <w:rFonts w:ascii="Times New Roman" w:eastAsia="Times New Roman" w:hAnsi="Times New Roman" w:cs="Times New Roman"/>
          <w:iCs/>
          <w:sz w:val="24"/>
          <w:szCs w:val="24"/>
          <w:bdr w:val="none" w:sz="0" w:space="0" w:color="auto" w:frame="1"/>
          <w:lang w:eastAsia="en-GH"/>
        </w:rPr>
        <w:t>Latency in next-generation satellite networks</w:t>
      </w:r>
      <w:r w:rsidRPr="003F2A7B">
        <w:rPr>
          <w:rFonts w:ascii="Times New Roman" w:eastAsia="Times New Roman" w:hAnsi="Times New Roman" w:cs="Times New Roman"/>
          <w:sz w:val="24"/>
          <w:szCs w:val="24"/>
          <w:lang w:eastAsia="en-GH"/>
        </w:rPr>
        <w:t xml:space="preserve">. IEEE Network, 35(4), 178-184. </w:t>
      </w:r>
      <w:hyperlink r:id="rId66"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https://doi.org/10.1109/MNET.011.2000443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hAnsi="Times New Roman" w:cs="Times New Roman"/>
          <w:sz w:val="24"/>
          <w:szCs w:val="24"/>
          <w:shd w:val="clear" w:color="auto" w:fill="FFFFFF"/>
        </w:rPr>
        <w:lastRenderedPageBreak/>
        <w:t xml:space="preserve">Pelton, J. N. (2020). </w:t>
      </w:r>
      <w:r w:rsidRPr="003F2A7B">
        <w:rPr>
          <w:rStyle w:val="Emphasis"/>
          <w:rFonts w:ascii="Times New Roman" w:hAnsi="Times New Roman" w:cs="Times New Roman"/>
          <w:i w:val="0"/>
          <w:sz w:val="24"/>
          <w:szCs w:val="24"/>
          <w:bdr w:val="none" w:sz="0" w:space="0" w:color="auto" w:frame="1"/>
          <w:shd w:val="clear" w:color="auto" w:fill="FFFFFF"/>
        </w:rPr>
        <w:t>The history of satellite communications</w:t>
      </w:r>
      <w:r w:rsidRPr="003F2A7B">
        <w:rPr>
          <w:rFonts w:ascii="Times New Roman" w:hAnsi="Times New Roman" w:cs="Times New Roman"/>
          <w:sz w:val="24"/>
          <w:szCs w:val="24"/>
          <w:shd w:val="clear" w:color="auto" w:fill="FFFFFF"/>
        </w:rPr>
        <w:t xml:space="preserve">. Springer. </w:t>
      </w:r>
      <w:hyperlink r:id="rId67" w:tgtFrame="_blank" w:history="1">
        <w:r w:rsidRPr="003F2A7B">
          <w:rPr>
            <w:rStyle w:val="Hyperlink"/>
            <w:rFonts w:ascii="Times New Roman" w:hAnsi="Times New Roman" w:cs="Times New Roman"/>
            <w:color w:val="1783FF"/>
            <w:sz w:val="24"/>
            <w:szCs w:val="24"/>
            <w:bdr w:val="none" w:sz="0" w:space="0" w:color="auto" w:frame="1"/>
            <w:shd w:val="clear" w:color="auto" w:fill="FFFFFF"/>
          </w:rPr>
          <w:t>https://doi.org/10.1007/978-3-</w:t>
        </w:r>
      </w:hyperlink>
      <w:hyperlink r:id="rId68" w:tgtFrame="_blank" w:history="1">
        <w:r w:rsidRPr="003F2A7B">
          <w:rPr>
            <w:rFonts w:ascii="Times New Roman" w:eastAsia="Times New Roman" w:hAnsi="Times New Roman" w:cs="Times New Roman"/>
            <w:color w:val="1783FF"/>
            <w:sz w:val="24"/>
            <w:szCs w:val="24"/>
            <w:u w:val="single"/>
            <w:bdr w:val="none" w:sz="0" w:space="0" w:color="auto" w:frame="1"/>
            <w:lang w:eastAsia="en-GH"/>
          </w:rPr>
          <w:t>030-33804-6</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Piazza, R., </w:t>
      </w:r>
      <w:proofErr w:type="spellStart"/>
      <w:r w:rsidRPr="003F2A7B">
        <w:rPr>
          <w:rFonts w:ascii="Times New Roman" w:eastAsia="Times New Roman" w:hAnsi="Times New Roman" w:cs="Times New Roman"/>
          <w:sz w:val="24"/>
          <w:szCs w:val="24"/>
          <w:lang w:eastAsia="en-GH"/>
        </w:rPr>
        <w:t>Mazzali</w:t>
      </w:r>
      <w:proofErr w:type="spellEnd"/>
      <w:r w:rsidRPr="003F2A7B">
        <w:rPr>
          <w:rFonts w:ascii="Times New Roman" w:eastAsia="Times New Roman" w:hAnsi="Times New Roman" w:cs="Times New Roman"/>
          <w:sz w:val="24"/>
          <w:szCs w:val="24"/>
          <w:lang w:eastAsia="en-GH"/>
        </w:rPr>
        <w:t xml:space="preserve">, N., &amp; </w:t>
      </w:r>
      <w:proofErr w:type="spellStart"/>
      <w:r w:rsidRPr="003F2A7B">
        <w:rPr>
          <w:rFonts w:ascii="Times New Roman" w:eastAsia="Times New Roman" w:hAnsi="Times New Roman" w:cs="Times New Roman"/>
          <w:sz w:val="24"/>
          <w:szCs w:val="24"/>
          <w:lang w:eastAsia="en-GH"/>
        </w:rPr>
        <w:t>Folladore</w:t>
      </w:r>
      <w:proofErr w:type="spellEnd"/>
      <w:r w:rsidRPr="003F2A7B">
        <w:rPr>
          <w:rFonts w:ascii="Times New Roman" w:eastAsia="Times New Roman" w:hAnsi="Times New Roman" w:cs="Times New Roman"/>
          <w:sz w:val="24"/>
          <w:szCs w:val="24"/>
          <w:lang w:eastAsia="en-GH"/>
        </w:rPr>
        <w:t xml:space="preserve">, M. (2020). </w:t>
      </w:r>
      <w:r w:rsidRPr="003F2A7B">
        <w:rPr>
          <w:rFonts w:ascii="Times New Roman" w:eastAsia="Times New Roman" w:hAnsi="Times New Roman" w:cs="Times New Roman"/>
          <w:iCs/>
          <w:sz w:val="24"/>
          <w:szCs w:val="24"/>
          <w:bdr w:val="none" w:sz="0" w:space="0" w:color="auto" w:frame="1"/>
          <w:lang w:eastAsia="en-GH"/>
        </w:rPr>
        <w:t>On-board processing technologies for satellite communications</w:t>
      </w:r>
      <w:r w:rsidRPr="003F2A7B">
        <w:rPr>
          <w:rFonts w:ascii="Times New Roman" w:eastAsia="Times New Roman" w:hAnsi="Times New Roman" w:cs="Times New Roman"/>
          <w:sz w:val="24"/>
          <w:szCs w:val="24"/>
          <w:lang w:eastAsia="en-GH"/>
        </w:rPr>
        <w:t xml:space="preserve">. IEEE Aerospace and Electronic Systems Magazine, 35(8), 6-17. </w:t>
      </w:r>
      <w:hyperlink r:id="rId69"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https://doi.org/10.1109/MAES.2020.2986936</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Pratt, T., </w:t>
      </w:r>
      <w:proofErr w:type="spellStart"/>
      <w:r w:rsidRPr="003F2A7B">
        <w:rPr>
          <w:rFonts w:ascii="Times New Roman" w:eastAsia="Times New Roman" w:hAnsi="Times New Roman" w:cs="Times New Roman"/>
          <w:sz w:val="24"/>
          <w:szCs w:val="24"/>
          <w:lang w:eastAsia="en-GH"/>
        </w:rPr>
        <w:t>Bostian</w:t>
      </w:r>
      <w:proofErr w:type="spellEnd"/>
      <w:r w:rsidRPr="003F2A7B">
        <w:rPr>
          <w:rFonts w:ascii="Times New Roman" w:eastAsia="Times New Roman" w:hAnsi="Times New Roman" w:cs="Times New Roman"/>
          <w:sz w:val="24"/>
          <w:szCs w:val="24"/>
          <w:lang w:eastAsia="en-GH"/>
        </w:rPr>
        <w:t xml:space="preserve">, C., &amp; </w:t>
      </w:r>
      <w:proofErr w:type="spellStart"/>
      <w:r w:rsidRPr="003F2A7B">
        <w:rPr>
          <w:rFonts w:ascii="Times New Roman" w:eastAsia="Times New Roman" w:hAnsi="Times New Roman" w:cs="Times New Roman"/>
          <w:sz w:val="24"/>
          <w:szCs w:val="24"/>
          <w:lang w:eastAsia="en-GH"/>
        </w:rPr>
        <w:t>Allnutt</w:t>
      </w:r>
      <w:proofErr w:type="spellEnd"/>
      <w:r w:rsidRPr="003F2A7B">
        <w:rPr>
          <w:rFonts w:ascii="Times New Roman" w:eastAsia="Times New Roman" w:hAnsi="Times New Roman" w:cs="Times New Roman"/>
          <w:sz w:val="24"/>
          <w:szCs w:val="24"/>
          <w:lang w:eastAsia="en-GH"/>
        </w:rPr>
        <w:t xml:space="preserve">, J. (2021). </w:t>
      </w:r>
      <w:r w:rsidRPr="003F2A7B">
        <w:rPr>
          <w:rFonts w:ascii="Times New Roman" w:eastAsia="Times New Roman" w:hAnsi="Times New Roman" w:cs="Times New Roman"/>
          <w:iCs/>
          <w:sz w:val="24"/>
          <w:szCs w:val="24"/>
          <w:bdr w:val="none" w:sz="0" w:space="0" w:color="auto" w:frame="1"/>
          <w:lang w:eastAsia="en-GH"/>
        </w:rPr>
        <w:t>Satellite communications</w:t>
      </w:r>
      <w:r w:rsidRPr="003F2A7B">
        <w:rPr>
          <w:rFonts w:ascii="Times New Roman" w:eastAsia="Times New Roman" w:hAnsi="Times New Roman" w:cs="Times New Roman"/>
          <w:sz w:val="24"/>
          <w:szCs w:val="24"/>
          <w:lang w:eastAsia="en-GH"/>
        </w:rPr>
        <w:t>. Wiley, 2nd ed.</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Radtke, J., </w:t>
      </w:r>
      <w:proofErr w:type="spellStart"/>
      <w:r w:rsidRPr="003F2A7B">
        <w:rPr>
          <w:rFonts w:ascii="Times New Roman" w:eastAsia="Times New Roman" w:hAnsi="Times New Roman" w:cs="Times New Roman"/>
          <w:sz w:val="24"/>
          <w:szCs w:val="24"/>
          <w:lang w:eastAsia="en-GH"/>
        </w:rPr>
        <w:t>Kebschull</w:t>
      </w:r>
      <w:proofErr w:type="spellEnd"/>
      <w:r w:rsidRPr="003F2A7B">
        <w:rPr>
          <w:rFonts w:ascii="Times New Roman" w:eastAsia="Times New Roman" w:hAnsi="Times New Roman" w:cs="Times New Roman"/>
          <w:sz w:val="24"/>
          <w:szCs w:val="24"/>
          <w:lang w:eastAsia="en-GH"/>
        </w:rPr>
        <w:t xml:space="preserve">, C., &amp; Stoll, E. (2021). </w:t>
      </w:r>
      <w:r w:rsidRPr="003F2A7B">
        <w:rPr>
          <w:rFonts w:ascii="Times New Roman" w:eastAsia="Times New Roman" w:hAnsi="Times New Roman" w:cs="Times New Roman"/>
          <w:iCs/>
          <w:sz w:val="24"/>
          <w:szCs w:val="24"/>
          <w:bdr w:val="none" w:sz="0" w:space="0" w:color="auto" w:frame="1"/>
          <w:lang w:eastAsia="en-GH"/>
        </w:rPr>
        <w:t>Contactless methods for active space debris removal</w:t>
      </w:r>
      <w:r w:rsidRPr="003F2A7B">
        <w:rPr>
          <w:rFonts w:ascii="Times New Roman" w:eastAsia="Times New Roman" w:hAnsi="Times New Roman" w:cs="Times New Roman"/>
          <w:sz w:val="24"/>
          <w:szCs w:val="24"/>
          <w:lang w:eastAsia="en-GH"/>
        </w:rPr>
        <w:t xml:space="preserve">. Acta </w:t>
      </w:r>
      <w:proofErr w:type="spellStart"/>
      <w:r w:rsidRPr="003F2A7B">
        <w:rPr>
          <w:rFonts w:ascii="Times New Roman" w:eastAsia="Times New Roman" w:hAnsi="Times New Roman" w:cs="Times New Roman"/>
          <w:sz w:val="24"/>
          <w:szCs w:val="24"/>
          <w:lang w:eastAsia="en-GH"/>
        </w:rPr>
        <w:t>Astronautica</w:t>
      </w:r>
      <w:proofErr w:type="spellEnd"/>
      <w:r w:rsidRPr="003F2A7B">
        <w:rPr>
          <w:rFonts w:ascii="Times New Roman" w:eastAsia="Times New Roman" w:hAnsi="Times New Roman" w:cs="Times New Roman"/>
          <w:sz w:val="24"/>
          <w:szCs w:val="24"/>
          <w:lang w:eastAsia="en-GH"/>
        </w:rPr>
        <w:t xml:space="preserve">, 153, 296-304. </w:t>
      </w:r>
      <w:hyperlink r:id="rId70"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https://doi.org/10.1016/j.actaastro.2018.02.012</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proofErr w:type="spellStart"/>
      <w:r w:rsidRPr="003F2A7B">
        <w:rPr>
          <w:rFonts w:ascii="Times New Roman" w:eastAsia="Times New Roman" w:hAnsi="Times New Roman" w:cs="Times New Roman"/>
          <w:sz w:val="24"/>
          <w:szCs w:val="24"/>
          <w:lang w:eastAsia="en-GH"/>
        </w:rPr>
        <w:t>Richharia</w:t>
      </w:r>
      <w:proofErr w:type="spellEnd"/>
      <w:r w:rsidRPr="003F2A7B">
        <w:rPr>
          <w:rFonts w:ascii="Times New Roman" w:eastAsia="Times New Roman" w:hAnsi="Times New Roman" w:cs="Times New Roman"/>
          <w:sz w:val="24"/>
          <w:szCs w:val="24"/>
          <w:lang w:eastAsia="en-GH"/>
        </w:rPr>
        <w:t xml:space="preserve">, M. (2018). </w:t>
      </w:r>
      <w:r w:rsidRPr="003F2A7B">
        <w:rPr>
          <w:rFonts w:ascii="Times New Roman" w:eastAsia="Times New Roman" w:hAnsi="Times New Roman" w:cs="Times New Roman"/>
          <w:iCs/>
          <w:sz w:val="24"/>
          <w:szCs w:val="24"/>
          <w:bdr w:val="none" w:sz="0" w:space="0" w:color="auto" w:frame="1"/>
          <w:lang w:eastAsia="en-GH"/>
        </w:rPr>
        <w:t>Satellite systems for personal applications: Concepts and technology</w:t>
      </w:r>
      <w:r w:rsidRPr="003F2A7B">
        <w:rPr>
          <w:rFonts w:ascii="Times New Roman" w:eastAsia="Times New Roman" w:hAnsi="Times New Roman" w:cs="Times New Roman"/>
          <w:sz w:val="24"/>
          <w:szCs w:val="24"/>
          <w:lang w:eastAsia="en-GH"/>
        </w:rPr>
        <w:t xml:space="preserve">. Wiley. </w:t>
      </w:r>
      <w:hyperlink r:id="rId71"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https://doi.org/10.1002/9780470714583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Roddy, D. (2020). </w:t>
      </w:r>
      <w:r w:rsidRPr="003F2A7B">
        <w:rPr>
          <w:rFonts w:ascii="Times New Roman" w:eastAsia="Times New Roman" w:hAnsi="Times New Roman" w:cs="Times New Roman"/>
          <w:iCs/>
          <w:sz w:val="24"/>
          <w:szCs w:val="24"/>
          <w:bdr w:val="none" w:sz="0" w:space="0" w:color="auto" w:frame="1"/>
          <w:lang w:eastAsia="en-GH"/>
        </w:rPr>
        <w:t>Satellite communications</w:t>
      </w:r>
      <w:r w:rsidRPr="003F2A7B">
        <w:rPr>
          <w:rFonts w:ascii="Times New Roman" w:eastAsia="Times New Roman" w:hAnsi="Times New Roman" w:cs="Times New Roman"/>
          <w:sz w:val="24"/>
          <w:szCs w:val="24"/>
          <w:lang w:eastAsia="en-GH"/>
        </w:rPr>
        <w:t>. McGraw-Hill, 4th ed.</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Ryan, W. E., &amp; Lin, S. (2019). </w:t>
      </w:r>
      <w:r w:rsidRPr="003F2A7B">
        <w:rPr>
          <w:rFonts w:ascii="Times New Roman" w:eastAsia="Times New Roman" w:hAnsi="Times New Roman" w:cs="Times New Roman"/>
          <w:iCs/>
          <w:sz w:val="24"/>
          <w:szCs w:val="24"/>
          <w:bdr w:val="none" w:sz="0" w:space="0" w:color="auto" w:frame="1"/>
          <w:lang w:eastAsia="en-GH"/>
        </w:rPr>
        <w:t>Channel codes: Classical and modern</w:t>
      </w:r>
      <w:r w:rsidRPr="003F2A7B">
        <w:rPr>
          <w:rFonts w:ascii="Times New Roman" w:eastAsia="Times New Roman" w:hAnsi="Times New Roman" w:cs="Times New Roman"/>
          <w:sz w:val="24"/>
          <w:szCs w:val="24"/>
          <w:lang w:eastAsia="en-GH"/>
        </w:rPr>
        <w:t xml:space="preserve">. Cambridge University Press. </w:t>
      </w:r>
      <w:hyperlink r:id="rId72"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https://doi.org/10.1017/CBO9780511803253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Saini, M., </w:t>
      </w:r>
      <w:proofErr w:type="spellStart"/>
      <w:r w:rsidRPr="003F2A7B">
        <w:rPr>
          <w:rFonts w:ascii="Times New Roman" w:eastAsia="Times New Roman" w:hAnsi="Times New Roman" w:cs="Times New Roman"/>
          <w:sz w:val="24"/>
          <w:szCs w:val="24"/>
          <w:lang w:eastAsia="en-GH"/>
        </w:rPr>
        <w:t>Lenczner</w:t>
      </w:r>
      <w:proofErr w:type="spellEnd"/>
      <w:r w:rsidRPr="003F2A7B">
        <w:rPr>
          <w:rFonts w:ascii="Times New Roman" w:eastAsia="Times New Roman" w:hAnsi="Times New Roman" w:cs="Times New Roman"/>
          <w:sz w:val="24"/>
          <w:szCs w:val="24"/>
          <w:lang w:eastAsia="en-GH"/>
        </w:rPr>
        <w:t xml:space="preserve">, M., &amp; </w:t>
      </w:r>
      <w:proofErr w:type="spellStart"/>
      <w:r w:rsidRPr="003F2A7B">
        <w:rPr>
          <w:rFonts w:ascii="Times New Roman" w:eastAsia="Times New Roman" w:hAnsi="Times New Roman" w:cs="Times New Roman"/>
          <w:sz w:val="24"/>
          <w:szCs w:val="24"/>
          <w:lang w:eastAsia="en-GH"/>
        </w:rPr>
        <w:t>Dovrolis</w:t>
      </w:r>
      <w:proofErr w:type="spellEnd"/>
      <w:r w:rsidRPr="003F2A7B">
        <w:rPr>
          <w:rFonts w:ascii="Times New Roman" w:eastAsia="Times New Roman" w:hAnsi="Times New Roman" w:cs="Times New Roman"/>
          <w:sz w:val="24"/>
          <w:szCs w:val="24"/>
          <w:lang w:eastAsia="en-GH"/>
        </w:rPr>
        <w:t xml:space="preserve">, C. (2021). </w:t>
      </w:r>
      <w:r w:rsidRPr="003F2A7B">
        <w:rPr>
          <w:rFonts w:ascii="Times New Roman" w:eastAsia="Times New Roman" w:hAnsi="Times New Roman" w:cs="Times New Roman"/>
          <w:iCs/>
          <w:sz w:val="24"/>
          <w:szCs w:val="24"/>
          <w:bdr w:val="none" w:sz="0" w:space="0" w:color="auto" w:frame="1"/>
          <w:lang w:eastAsia="en-GH"/>
        </w:rPr>
        <w:t>Cybersecurity challenges in satellite systems</w:t>
      </w:r>
      <w:r w:rsidRPr="003F2A7B">
        <w:rPr>
          <w:rFonts w:ascii="Times New Roman" w:eastAsia="Times New Roman" w:hAnsi="Times New Roman" w:cs="Times New Roman"/>
          <w:sz w:val="24"/>
          <w:szCs w:val="24"/>
          <w:lang w:eastAsia="en-GH"/>
        </w:rPr>
        <w:t xml:space="preserve">. IEEE Security &amp; Privacy, 19(2), 78-82. </w:t>
      </w:r>
      <w:hyperlink r:id="rId73"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https://doi.org/10.1109/MSEC.2020.3044440</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Saunders, S. R., &amp; Aragon-Zavala, A. (2020). </w:t>
      </w:r>
      <w:r w:rsidRPr="003F2A7B">
        <w:rPr>
          <w:rFonts w:ascii="Times New Roman" w:eastAsia="Times New Roman" w:hAnsi="Times New Roman" w:cs="Times New Roman"/>
          <w:iCs/>
          <w:sz w:val="24"/>
          <w:szCs w:val="24"/>
          <w:bdr w:val="none" w:sz="0" w:space="0" w:color="auto" w:frame="1"/>
          <w:lang w:eastAsia="en-GH"/>
        </w:rPr>
        <w:t>Antennas and propagation for wireless communication systems</w:t>
      </w:r>
      <w:r w:rsidRPr="003F2A7B">
        <w:rPr>
          <w:rFonts w:ascii="Times New Roman" w:eastAsia="Times New Roman" w:hAnsi="Times New Roman" w:cs="Times New Roman"/>
          <w:sz w:val="24"/>
          <w:szCs w:val="24"/>
          <w:lang w:eastAsia="en-GH"/>
        </w:rPr>
        <w:t xml:space="preserve">. Wiley, 2nd ed. </w:t>
      </w:r>
      <w:hyperlink r:id="rId74"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https://doi.org/10.1002/9780470773393</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Sharma, S. K., </w:t>
      </w:r>
      <w:proofErr w:type="spellStart"/>
      <w:r w:rsidRPr="003F2A7B">
        <w:rPr>
          <w:rFonts w:ascii="Times New Roman" w:eastAsia="Times New Roman" w:hAnsi="Times New Roman" w:cs="Times New Roman"/>
          <w:sz w:val="24"/>
          <w:szCs w:val="24"/>
          <w:lang w:eastAsia="en-GH"/>
        </w:rPr>
        <w:t>Chatzinotas</w:t>
      </w:r>
      <w:proofErr w:type="spellEnd"/>
      <w:r w:rsidRPr="003F2A7B">
        <w:rPr>
          <w:rFonts w:ascii="Times New Roman" w:eastAsia="Times New Roman" w:hAnsi="Times New Roman" w:cs="Times New Roman"/>
          <w:sz w:val="24"/>
          <w:szCs w:val="24"/>
          <w:lang w:eastAsia="en-GH"/>
        </w:rPr>
        <w:t xml:space="preserve">, S., &amp; </w:t>
      </w:r>
      <w:proofErr w:type="spellStart"/>
      <w:r w:rsidRPr="003F2A7B">
        <w:rPr>
          <w:rFonts w:ascii="Times New Roman" w:eastAsia="Times New Roman" w:hAnsi="Times New Roman" w:cs="Times New Roman"/>
          <w:sz w:val="24"/>
          <w:szCs w:val="24"/>
          <w:lang w:eastAsia="en-GH"/>
        </w:rPr>
        <w:t>Ottersten</w:t>
      </w:r>
      <w:proofErr w:type="spellEnd"/>
      <w:r w:rsidRPr="003F2A7B">
        <w:rPr>
          <w:rFonts w:ascii="Times New Roman" w:eastAsia="Times New Roman" w:hAnsi="Times New Roman" w:cs="Times New Roman"/>
          <w:sz w:val="24"/>
          <w:szCs w:val="24"/>
          <w:lang w:eastAsia="en-GH"/>
        </w:rPr>
        <w:t xml:space="preserve">, B. (2020). </w:t>
      </w:r>
      <w:r w:rsidRPr="003F2A7B">
        <w:rPr>
          <w:rFonts w:ascii="Times New Roman" w:eastAsia="Times New Roman" w:hAnsi="Times New Roman" w:cs="Times New Roman"/>
          <w:iCs/>
          <w:sz w:val="24"/>
          <w:szCs w:val="24"/>
          <w:bdr w:val="none" w:sz="0" w:space="0" w:color="auto" w:frame="1"/>
          <w:lang w:eastAsia="en-GH"/>
        </w:rPr>
        <w:t>Spectrum sharing in the 5G era: Standards and spectrum policy</w:t>
      </w:r>
      <w:r w:rsidRPr="003F2A7B">
        <w:rPr>
          <w:rFonts w:ascii="Times New Roman" w:eastAsia="Times New Roman" w:hAnsi="Times New Roman" w:cs="Times New Roman"/>
          <w:sz w:val="24"/>
          <w:szCs w:val="24"/>
          <w:lang w:eastAsia="en-GH"/>
        </w:rPr>
        <w:t xml:space="preserve">. Cambridge University Press. </w:t>
      </w:r>
      <w:hyperlink r:id="rId75"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https://doi.org/10.1017/9781108622332</w:t>
        </w:r>
      </w:hyperlink>
    </w:p>
    <w:p w:rsidR="00B83B4E"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val="en-US" w:eastAsia="en-GH"/>
        </w:rPr>
      </w:pPr>
      <w:proofErr w:type="spellStart"/>
      <w:r w:rsidRPr="003F2A7B">
        <w:rPr>
          <w:rFonts w:ascii="Times New Roman" w:eastAsia="Times New Roman" w:hAnsi="Times New Roman" w:cs="Times New Roman"/>
          <w:sz w:val="24"/>
          <w:szCs w:val="24"/>
          <w:lang w:eastAsia="en-GH"/>
        </w:rPr>
        <w:t>Sodnik</w:t>
      </w:r>
      <w:proofErr w:type="spellEnd"/>
      <w:r w:rsidRPr="003F2A7B">
        <w:rPr>
          <w:rFonts w:ascii="Times New Roman" w:eastAsia="Times New Roman" w:hAnsi="Times New Roman" w:cs="Times New Roman"/>
          <w:sz w:val="24"/>
          <w:szCs w:val="24"/>
          <w:lang w:eastAsia="en-GH"/>
        </w:rPr>
        <w:t xml:space="preserve">, Z., </w:t>
      </w:r>
      <w:proofErr w:type="spellStart"/>
      <w:r w:rsidRPr="003F2A7B">
        <w:rPr>
          <w:rFonts w:ascii="Times New Roman" w:eastAsia="Times New Roman" w:hAnsi="Times New Roman" w:cs="Times New Roman"/>
          <w:sz w:val="24"/>
          <w:szCs w:val="24"/>
          <w:lang w:eastAsia="en-GH"/>
        </w:rPr>
        <w:t>Furch</w:t>
      </w:r>
      <w:proofErr w:type="spellEnd"/>
      <w:r w:rsidRPr="003F2A7B">
        <w:rPr>
          <w:rFonts w:ascii="Times New Roman" w:eastAsia="Times New Roman" w:hAnsi="Times New Roman" w:cs="Times New Roman"/>
          <w:sz w:val="24"/>
          <w:szCs w:val="24"/>
          <w:lang w:eastAsia="en-GH"/>
        </w:rPr>
        <w:t xml:space="preserve">, B., &amp; Lutz, H. (2021). </w:t>
      </w:r>
      <w:r w:rsidRPr="003F2A7B">
        <w:rPr>
          <w:rFonts w:ascii="Times New Roman" w:eastAsia="Times New Roman" w:hAnsi="Times New Roman" w:cs="Times New Roman"/>
          <w:iCs/>
          <w:sz w:val="24"/>
          <w:szCs w:val="24"/>
          <w:bdr w:val="none" w:sz="0" w:space="0" w:color="auto" w:frame="1"/>
          <w:lang w:eastAsia="en-GH"/>
        </w:rPr>
        <w:t>Optical satellite communications in Europe: Trends and applications</w:t>
      </w:r>
      <w:r w:rsidRPr="003F2A7B">
        <w:rPr>
          <w:rFonts w:ascii="Times New Roman" w:eastAsia="Times New Roman" w:hAnsi="Times New Roman" w:cs="Times New Roman"/>
          <w:sz w:val="24"/>
          <w:szCs w:val="24"/>
          <w:lang w:eastAsia="en-GH"/>
        </w:rPr>
        <w:t>. IEEE Communications Magazine, 59(3), 22-28.</w:t>
      </w:r>
    </w:p>
    <w:p w:rsidR="00B83B4E" w:rsidRPr="003F2A7B" w:rsidRDefault="00A71B9B" w:rsidP="002A658F">
      <w:pPr>
        <w:shd w:val="clear" w:color="auto" w:fill="FFFFFF"/>
        <w:spacing w:line="360" w:lineRule="auto"/>
        <w:textAlignment w:val="baseline"/>
        <w:rPr>
          <w:rFonts w:ascii="Times New Roman" w:eastAsia="Times New Roman" w:hAnsi="Times New Roman" w:cs="Times New Roman"/>
          <w:sz w:val="24"/>
          <w:szCs w:val="24"/>
          <w:lang w:eastAsia="en-GH"/>
        </w:rPr>
      </w:pPr>
      <w:hyperlink r:id="rId76" w:history="1">
        <w:r w:rsidR="00B83B4E" w:rsidRPr="003F2A7B">
          <w:rPr>
            <w:rStyle w:val="Hyperlink"/>
            <w:rFonts w:ascii="Times New Roman" w:eastAsia="Times New Roman" w:hAnsi="Times New Roman" w:cs="Times New Roman"/>
            <w:sz w:val="24"/>
            <w:szCs w:val="24"/>
            <w:bdr w:val="none" w:sz="0" w:space="0" w:color="auto" w:frame="1"/>
            <w:lang w:eastAsia="en-GH"/>
          </w:rPr>
          <w:t>https://doi.org/10.1109/MCOM.001.2000621</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Wertz, J. R., &amp; Everett, D. F. (2019). </w:t>
      </w:r>
      <w:r w:rsidRPr="003F2A7B">
        <w:rPr>
          <w:rFonts w:ascii="Times New Roman" w:eastAsia="Times New Roman" w:hAnsi="Times New Roman" w:cs="Times New Roman"/>
          <w:iCs/>
          <w:sz w:val="24"/>
          <w:szCs w:val="24"/>
          <w:bdr w:val="none" w:sz="0" w:space="0" w:color="auto" w:frame="1"/>
          <w:lang w:eastAsia="en-GH"/>
        </w:rPr>
        <w:t>Space mission engineering: The new SMAD</w:t>
      </w:r>
      <w:r w:rsidRPr="003F2A7B">
        <w:rPr>
          <w:rFonts w:ascii="Times New Roman" w:eastAsia="Times New Roman" w:hAnsi="Times New Roman" w:cs="Times New Roman"/>
          <w:sz w:val="24"/>
          <w:szCs w:val="24"/>
          <w:lang w:eastAsia="en-GH"/>
        </w:rPr>
        <w:t>. Microcosm Press.</w:t>
      </w:r>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Wu, Q., Zhang, R., &amp; Zheng, B. (2020). Intelligent reflecting surface-aided wireless communications: A tutorial. </w:t>
      </w:r>
      <w:r w:rsidRPr="003F2A7B">
        <w:rPr>
          <w:rFonts w:ascii="Times New Roman" w:eastAsia="Times New Roman" w:hAnsi="Times New Roman" w:cs="Times New Roman"/>
          <w:iCs/>
          <w:sz w:val="24"/>
          <w:szCs w:val="24"/>
          <w:bdr w:val="none" w:sz="0" w:space="0" w:color="auto" w:frame="1"/>
          <w:lang w:eastAsia="en-GH"/>
        </w:rPr>
        <w:t>IEEE Transactions on Communications</w:t>
      </w:r>
      <w:r w:rsidRPr="003F2A7B">
        <w:rPr>
          <w:rFonts w:ascii="Times New Roman" w:eastAsia="Times New Roman" w:hAnsi="Times New Roman" w:cs="Times New Roman"/>
          <w:sz w:val="24"/>
          <w:szCs w:val="24"/>
          <w:lang w:eastAsia="en-GH"/>
        </w:rPr>
        <w:t xml:space="preserve">, 69(5), 3313-3351. </w:t>
      </w:r>
      <w:hyperlink r:id="rId77"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https://doi.org/10.1109/TCOMM.2021.3051897</w:t>
        </w:r>
      </w:hyperlink>
    </w:p>
    <w:p w:rsidR="00264712" w:rsidRPr="003F2A7B" w:rsidRDefault="00264712" w:rsidP="002A658F">
      <w:pPr>
        <w:shd w:val="clear" w:color="auto" w:fill="FFFFFF"/>
        <w:spacing w:line="360" w:lineRule="auto"/>
        <w:textAlignment w:val="baseline"/>
        <w:rPr>
          <w:rFonts w:ascii="Times New Roman" w:eastAsia="Times New Roman" w:hAnsi="Times New Roman" w:cs="Times New Roman"/>
          <w:sz w:val="24"/>
          <w:szCs w:val="24"/>
          <w:lang w:eastAsia="en-GH"/>
        </w:rPr>
      </w:pPr>
      <w:r w:rsidRPr="003F2A7B">
        <w:rPr>
          <w:rFonts w:ascii="Times New Roman" w:eastAsia="Times New Roman" w:hAnsi="Times New Roman" w:cs="Times New Roman"/>
          <w:sz w:val="24"/>
          <w:szCs w:val="24"/>
          <w:lang w:eastAsia="en-GH"/>
        </w:rPr>
        <w:t xml:space="preserve">Zheng, X., Cao, Y., &amp; Li, Y. (2021). </w:t>
      </w:r>
      <w:r w:rsidRPr="003F2A7B">
        <w:rPr>
          <w:rFonts w:ascii="Times New Roman" w:eastAsia="Times New Roman" w:hAnsi="Times New Roman" w:cs="Times New Roman"/>
          <w:iCs/>
          <w:sz w:val="24"/>
          <w:szCs w:val="24"/>
          <w:bdr w:val="none" w:sz="0" w:space="0" w:color="auto" w:frame="1"/>
          <w:lang w:eastAsia="en-GH"/>
        </w:rPr>
        <w:t>Machine learning for satellite communication systems</w:t>
      </w:r>
      <w:r w:rsidRPr="003F2A7B">
        <w:rPr>
          <w:rFonts w:ascii="Times New Roman" w:eastAsia="Times New Roman" w:hAnsi="Times New Roman" w:cs="Times New Roman"/>
          <w:sz w:val="24"/>
          <w:szCs w:val="24"/>
          <w:lang w:eastAsia="en-GH"/>
        </w:rPr>
        <w:t xml:space="preserve">. IEEE Communications Surveys &amp; Tutorials, 23(2), 1285-1314. </w:t>
      </w:r>
      <w:hyperlink r:id="rId78" w:tgtFrame="_blank" w:history="1">
        <w:r w:rsidRPr="003F2A7B">
          <w:rPr>
            <w:rFonts w:ascii="Times New Roman" w:eastAsia="Times New Roman" w:hAnsi="Times New Roman" w:cs="Times New Roman"/>
            <w:color w:val="1783FF"/>
            <w:sz w:val="24"/>
            <w:szCs w:val="24"/>
            <w:u w:val="single"/>
            <w:bdr w:val="none" w:sz="0" w:space="0" w:color="auto" w:frame="1"/>
            <w:lang w:eastAsia="en-GH"/>
          </w:rPr>
          <w:t>https://doi.org/10.1109/COMST.2021.3055333</w:t>
        </w:r>
      </w:hyperlink>
    </w:p>
    <w:sectPr w:rsidR="00264712" w:rsidRPr="003F2A7B" w:rsidSect="00D323DF">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1B9B" w:rsidRDefault="00A71B9B" w:rsidP="004A157B">
      <w:pPr>
        <w:spacing w:after="0" w:line="240" w:lineRule="auto"/>
      </w:pPr>
      <w:r>
        <w:separator/>
      </w:r>
    </w:p>
  </w:endnote>
  <w:endnote w:type="continuationSeparator" w:id="0">
    <w:p w:rsidR="00A71B9B" w:rsidRDefault="00A71B9B" w:rsidP="004A1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1B9B" w:rsidRDefault="00A71B9B" w:rsidP="004A157B">
      <w:pPr>
        <w:spacing w:after="0" w:line="240" w:lineRule="auto"/>
      </w:pPr>
      <w:r>
        <w:separator/>
      </w:r>
    </w:p>
  </w:footnote>
  <w:footnote w:type="continuationSeparator" w:id="0">
    <w:p w:rsidR="00A71B9B" w:rsidRDefault="00A71B9B" w:rsidP="004A1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6306B2"/>
    <w:multiLevelType w:val="hybridMultilevel"/>
    <w:tmpl w:val="09A200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D0"/>
    <w:rsid w:val="000364DB"/>
    <w:rsid w:val="00047066"/>
    <w:rsid w:val="0005554E"/>
    <w:rsid w:val="00060D73"/>
    <w:rsid w:val="0007315A"/>
    <w:rsid w:val="00086B68"/>
    <w:rsid w:val="0009299B"/>
    <w:rsid w:val="000A564D"/>
    <w:rsid w:val="000D68D0"/>
    <w:rsid w:val="000E10CF"/>
    <w:rsid w:val="000F03E1"/>
    <w:rsid w:val="0011005D"/>
    <w:rsid w:val="001114B1"/>
    <w:rsid w:val="00116CB0"/>
    <w:rsid w:val="00117BCA"/>
    <w:rsid w:val="00124DBA"/>
    <w:rsid w:val="00167B92"/>
    <w:rsid w:val="00183260"/>
    <w:rsid w:val="00184EB2"/>
    <w:rsid w:val="0018761A"/>
    <w:rsid w:val="0021263F"/>
    <w:rsid w:val="00217CE8"/>
    <w:rsid w:val="00223769"/>
    <w:rsid w:val="00227BF0"/>
    <w:rsid w:val="00264712"/>
    <w:rsid w:val="00275326"/>
    <w:rsid w:val="002A658F"/>
    <w:rsid w:val="002A7E87"/>
    <w:rsid w:val="002B06F7"/>
    <w:rsid w:val="002D3B99"/>
    <w:rsid w:val="002D56CD"/>
    <w:rsid w:val="002D6A46"/>
    <w:rsid w:val="002F3A06"/>
    <w:rsid w:val="003001F5"/>
    <w:rsid w:val="00310A49"/>
    <w:rsid w:val="003223F5"/>
    <w:rsid w:val="00327DE8"/>
    <w:rsid w:val="00330931"/>
    <w:rsid w:val="003349F6"/>
    <w:rsid w:val="00335FFD"/>
    <w:rsid w:val="00342485"/>
    <w:rsid w:val="003656E3"/>
    <w:rsid w:val="00372B86"/>
    <w:rsid w:val="00396E0F"/>
    <w:rsid w:val="003A6811"/>
    <w:rsid w:val="003B2CE3"/>
    <w:rsid w:val="003C2BDD"/>
    <w:rsid w:val="003C3994"/>
    <w:rsid w:val="003F2A7B"/>
    <w:rsid w:val="00402085"/>
    <w:rsid w:val="0040209F"/>
    <w:rsid w:val="004507A1"/>
    <w:rsid w:val="0045690F"/>
    <w:rsid w:val="00457137"/>
    <w:rsid w:val="00464DAA"/>
    <w:rsid w:val="00466F8B"/>
    <w:rsid w:val="0048014A"/>
    <w:rsid w:val="004A157B"/>
    <w:rsid w:val="004A252C"/>
    <w:rsid w:val="004C2455"/>
    <w:rsid w:val="004F5634"/>
    <w:rsid w:val="00512904"/>
    <w:rsid w:val="005338AD"/>
    <w:rsid w:val="00543FD2"/>
    <w:rsid w:val="00545831"/>
    <w:rsid w:val="005938BE"/>
    <w:rsid w:val="005C2B7D"/>
    <w:rsid w:val="005C4418"/>
    <w:rsid w:val="005C5E9B"/>
    <w:rsid w:val="005E19A2"/>
    <w:rsid w:val="00601C16"/>
    <w:rsid w:val="00633779"/>
    <w:rsid w:val="00634D09"/>
    <w:rsid w:val="00642A5B"/>
    <w:rsid w:val="00655890"/>
    <w:rsid w:val="006872C9"/>
    <w:rsid w:val="0068737C"/>
    <w:rsid w:val="006B6568"/>
    <w:rsid w:val="006C38EF"/>
    <w:rsid w:val="006D1711"/>
    <w:rsid w:val="006D6D90"/>
    <w:rsid w:val="006F5C32"/>
    <w:rsid w:val="006F63CA"/>
    <w:rsid w:val="007328A8"/>
    <w:rsid w:val="00777BCC"/>
    <w:rsid w:val="00792794"/>
    <w:rsid w:val="00792B89"/>
    <w:rsid w:val="007A0147"/>
    <w:rsid w:val="007A03FA"/>
    <w:rsid w:val="007D3068"/>
    <w:rsid w:val="007F0522"/>
    <w:rsid w:val="00801E7D"/>
    <w:rsid w:val="00814013"/>
    <w:rsid w:val="00815FC9"/>
    <w:rsid w:val="00832F17"/>
    <w:rsid w:val="00854942"/>
    <w:rsid w:val="00870780"/>
    <w:rsid w:val="00876F99"/>
    <w:rsid w:val="00882504"/>
    <w:rsid w:val="0088758D"/>
    <w:rsid w:val="008A1EAD"/>
    <w:rsid w:val="008D6B36"/>
    <w:rsid w:val="008E1FF2"/>
    <w:rsid w:val="008E5DCD"/>
    <w:rsid w:val="008F7746"/>
    <w:rsid w:val="009524B8"/>
    <w:rsid w:val="009628A9"/>
    <w:rsid w:val="009634E5"/>
    <w:rsid w:val="0096553A"/>
    <w:rsid w:val="00984BE2"/>
    <w:rsid w:val="00987320"/>
    <w:rsid w:val="0098756B"/>
    <w:rsid w:val="009A0C45"/>
    <w:rsid w:val="00A02624"/>
    <w:rsid w:val="00A63D17"/>
    <w:rsid w:val="00A71B9B"/>
    <w:rsid w:val="00A81B05"/>
    <w:rsid w:val="00A956A5"/>
    <w:rsid w:val="00AA04D0"/>
    <w:rsid w:val="00AA4B0B"/>
    <w:rsid w:val="00AC29F8"/>
    <w:rsid w:val="00AC7419"/>
    <w:rsid w:val="00AE1C7C"/>
    <w:rsid w:val="00AE64C4"/>
    <w:rsid w:val="00B06A41"/>
    <w:rsid w:val="00B46112"/>
    <w:rsid w:val="00B623D9"/>
    <w:rsid w:val="00B637E0"/>
    <w:rsid w:val="00B701FD"/>
    <w:rsid w:val="00B76113"/>
    <w:rsid w:val="00B83B4E"/>
    <w:rsid w:val="00B90545"/>
    <w:rsid w:val="00BA0E7B"/>
    <w:rsid w:val="00BA30A6"/>
    <w:rsid w:val="00BA3DDA"/>
    <w:rsid w:val="00BA4E21"/>
    <w:rsid w:val="00BA7D46"/>
    <w:rsid w:val="00BB1269"/>
    <w:rsid w:val="00BF5F23"/>
    <w:rsid w:val="00C07BD8"/>
    <w:rsid w:val="00C11F88"/>
    <w:rsid w:val="00C373F4"/>
    <w:rsid w:val="00C413AE"/>
    <w:rsid w:val="00C656FA"/>
    <w:rsid w:val="00C8081F"/>
    <w:rsid w:val="00C92438"/>
    <w:rsid w:val="00C97F51"/>
    <w:rsid w:val="00CA5B98"/>
    <w:rsid w:val="00CB2C9B"/>
    <w:rsid w:val="00CB71E2"/>
    <w:rsid w:val="00CC7A6A"/>
    <w:rsid w:val="00CD0D34"/>
    <w:rsid w:val="00CD41B2"/>
    <w:rsid w:val="00CF56D6"/>
    <w:rsid w:val="00CF7011"/>
    <w:rsid w:val="00D1256E"/>
    <w:rsid w:val="00D15900"/>
    <w:rsid w:val="00D249AA"/>
    <w:rsid w:val="00D31EC3"/>
    <w:rsid w:val="00D323DF"/>
    <w:rsid w:val="00D37EFB"/>
    <w:rsid w:val="00D57A10"/>
    <w:rsid w:val="00D62921"/>
    <w:rsid w:val="00DA64C4"/>
    <w:rsid w:val="00DC4777"/>
    <w:rsid w:val="00DC721D"/>
    <w:rsid w:val="00E00BA8"/>
    <w:rsid w:val="00E27A46"/>
    <w:rsid w:val="00E877A2"/>
    <w:rsid w:val="00E9029D"/>
    <w:rsid w:val="00E9490F"/>
    <w:rsid w:val="00EA59EF"/>
    <w:rsid w:val="00EA7120"/>
    <w:rsid w:val="00EB36C0"/>
    <w:rsid w:val="00EC04B1"/>
    <w:rsid w:val="00EC08F3"/>
    <w:rsid w:val="00EC1A19"/>
    <w:rsid w:val="00EF7064"/>
    <w:rsid w:val="00F00AFA"/>
    <w:rsid w:val="00F07716"/>
    <w:rsid w:val="00F169A7"/>
    <w:rsid w:val="00F1720E"/>
    <w:rsid w:val="00F66DDF"/>
    <w:rsid w:val="00F67BBF"/>
    <w:rsid w:val="00F77FFE"/>
    <w:rsid w:val="00F91338"/>
    <w:rsid w:val="00FE55BC"/>
    <w:rsid w:val="00FF0C78"/>
    <w:rsid w:val="00FF36E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3A07"/>
  <w15:chartTrackingRefBased/>
  <w15:docId w15:val="{7067A635-ECF8-4CE1-9F9B-D4F891BF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20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09F"/>
    <w:pPr>
      <w:ind w:left="720"/>
      <w:contextualSpacing/>
    </w:pPr>
  </w:style>
  <w:style w:type="character" w:styleId="Strong">
    <w:name w:val="Strong"/>
    <w:basedOn w:val="DefaultParagraphFont"/>
    <w:uiPriority w:val="22"/>
    <w:qFormat/>
    <w:rsid w:val="000F03E1"/>
    <w:rPr>
      <w:b/>
      <w:bCs/>
    </w:rPr>
  </w:style>
  <w:style w:type="table" w:styleId="TableGrid">
    <w:name w:val="Table Grid"/>
    <w:basedOn w:val="TableNormal"/>
    <w:uiPriority w:val="39"/>
    <w:rsid w:val="008E5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872C9"/>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Emphasis">
    <w:name w:val="Emphasis"/>
    <w:basedOn w:val="DefaultParagraphFont"/>
    <w:uiPriority w:val="20"/>
    <w:qFormat/>
    <w:rsid w:val="00D15900"/>
    <w:rPr>
      <w:i/>
      <w:iCs/>
    </w:rPr>
  </w:style>
  <w:style w:type="character" w:styleId="Hyperlink">
    <w:name w:val="Hyperlink"/>
    <w:basedOn w:val="DefaultParagraphFont"/>
    <w:uiPriority w:val="99"/>
    <w:unhideWhenUsed/>
    <w:rsid w:val="00D15900"/>
    <w:rPr>
      <w:color w:val="0000FF"/>
      <w:u w:val="single"/>
    </w:rPr>
  </w:style>
  <w:style w:type="paragraph" w:styleId="Header">
    <w:name w:val="header"/>
    <w:basedOn w:val="Normal"/>
    <w:link w:val="HeaderChar"/>
    <w:uiPriority w:val="99"/>
    <w:unhideWhenUsed/>
    <w:rsid w:val="004A15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157B"/>
  </w:style>
  <w:style w:type="paragraph" w:styleId="Footer">
    <w:name w:val="footer"/>
    <w:basedOn w:val="Normal"/>
    <w:link w:val="FooterChar"/>
    <w:uiPriority w:val="99"/>
    <w:unhideWhenUsed/>
    <w:rsid w:val="004A15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157B"/>
  </w:style>
  <w:style w:type="character" w:styleId="UnresolvedMention">
    <w:name w:val="Unresolved Mention"/>
    <w:basedOn w:val="DefaultParagraphFont"/>
    <w:uiPriority w:val="99"/>
    <w:semiHidden/>
    <w:unhideWhenUsed/>
    <w:rsid w:val="00183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311880">
      <w:bodyDiv w:val="1"/>
      <w:marLeft w:val="0"/>
      <w:marRight w:val="0"/>
      <w:marTop w:val="0"/>
      <w:marBottom w:val="0"/>
      <w:divBdr>
        <w:top w:val="none" w:sz="0" w:space="0" w:color="auto"/>
        <w:left w:val="none" w:sz="0" w:space="0" w:color="auto"/>
        <w:bottom w:val="none" w:sz="0" w:space="0" w:color="auto"/>
        <w:right w:val="none" w:sz="0" w:space="0" w:color="auto"/>
      </w:divBdr>
      <w:divsChild>
        <w:div w:id="787309719">
          <w:marLeft w:val="0"/>
          <w:marRight w:val="0"/>
          <w:marTop w:val="0"/>
          <w:marBottom w:val="240"/>
          <w:divBdr>
            <w:top w:val="none" w:sz="0" w:space="0" w:color="auto"/>
            <w:left w:val="none" w:sz="0" w:space="0" w:color="auto"/>
            <w:bottom w:val="none" w:sz="0" w:space="0" w:color="auto"/>
            <w:right w:val="none" w:sz="0" w:space="0" w:color="auto"/>
          </w:divBdr>
        </w:div>
      </w:divsChild>
    </w:div>
    <w:div w:id="218978953">
      <w:bodyDiv w:val="1"/>
      <w:marLeft w:val="0"/>
      <w:marRight w:val="0"/>
      <w:marTop w:val="0"/>
      <w:marBottom w:val="0"/>
      <w:divBdr>
        <w:top w:val="none" w:sz="0" w:space="0" w:color="auto"/>
        <w:left w:val="none" w:sz="0" w:space="0" w:color="auto"/>
        <w:bottom w:val="none" w:sz="0" w:space="0" w:color="auto"/>
        <w:right w:val="none" w:sz="0" w:space="0" w:color="auto"/>
      </w:divBdr>
    </w:div>
    <w:div w:id="605961747">
      <w:bodyDiv w:val="1"/>
      <w:marLeft w:val="0"/>
      <w:marRight w:val="0"/>
      <w:marTop w:val="0"/>
      <w:marBottom w:val="0"/>
      <w:divBdr>
        <w:top w:val="none" w:sz="0" w:space="0" w:color="auto"/>
        <w:left w:val="none" w:sz="0" w:space="0" w:color="auto"/>
        <w:bottom w:val="none" w:sz="0" w:space="0" w:color="auto"/>
        <w:right w:val="none" w:sz="0" w:space="0" w:color="auto"/>
      </w:divBdr>
      <w:divsChild>
        <w:div w:id="602302958">
          <w:marLeft w:val="0"/>
          <w:marRight w:val="0"/>
          <w:marTop w:val="0"/>
          <w:marBottom w:val="240"/>
          <w:divBdr>
            <w:top w:val="none" w:sz="0" w:space="0" w:color="auto"/>
            <w:left w:val="none" w:sz="0" w:space="0" w:color="auto"/>
            <w:bottom w:val="none" w:sz="0" w:space="0" w:color="auto"/>
            <w:right w:val="none" w:sz="0" w:space="0" w:color="auto"/>
          </w:divBdr>
        </w:div>
        <w:div w:id="51076537">
          <w:marLeft w:val="0"/>
          <w:marRight w:val="0"/>
          <w:marTop w:val="0"/>
          <w:marBottom w:val="240"/>
          <w:divBdr>
            <w:top w:val="none" w:sz="0" w:space="0" w:color="auto"/>
            <w:left w:val="none" w:sz="0" w:space="0" w:color="auto"/>
            <w:bottom w:val="none" w:sz="0" w:space="0" w:color="auto"/>
            <w:right w:val="none" w:sz="0" w:space="0" w:color="auto"/>
          </w:divBdr>
        </w:div>
        <w:div w:id="479230211">
          <w:marLeft w:val="0"/>
          <w:marRight w:val="0"/>
          <w:marTop w:val="0"/>
          <w:marBottom w:val="240"/>
          <w:divBdr>
            <w:top w:val="none" w:sz="0" w:space="0" w:color="auto"/>
            <w:left w:val="none" w:sz="0" w:space="0" w:color="auto"/>
            <w:bottom w:val="none" w:sz="0" w:space="0" w:color="auto"/>
            <w:right w:val="none" w:sz="0" w:space="0" w:color="auto"/>
          </w:divBdr>
        </w:div>
        <w:div w:id="194925321">
          <w:marLeft w:val="0"/>
          <w:marRight w:val="0"/>
          <w:marTop w:val="0"/>
          <w:marBottom w:val="240"/>
          <w:divBdr>
            <w:top w:val="none" w:sz="0" w:space="0" w:color="auto"/>
            <w:left w:val="none" w:sz="0" w:space="0" w:color="auto"/>
            <w:bottom w:val="none" w:sz="0" w:space="0" w:color="auto"/>
            <w:right w:val="none" w:sz="0" w:space="0" w:color="auto"/>
          </w:divBdr>
        </w:div>
        <w:div w:id="575481153">
          <w:marLeft w:val="0"/>
          <w:marRight w:val="0"/>
          <w:marTop w:val="0"/>
          <w:marBottom w:val="240"/>
          <w:divBdr>
            <w:top w:val="none" w:sz="0" w:space="0" w:color="auto"/>
            <w:left w:val="none" w:sz="0" w:space="0" w:color="auto"/>
            <w:bottom w:val="none" w:sz="0" w:space="0" w:color="auto"/>
            <w:right w:val="none" w:sz="0" w:space="0" w:color="auto"/>
          </w:divBdr>
        </w:div>
        <w:div w:id="1341540531">
          <w:marLeft w:val="0"/>
          <w:marRight w:val="0"/>
          <w:marTop w:val="0"/>
          <w:marBottom w:val="240"/>
          <w:divBdr>
            <w:top w:val="none" w:sz="0" w:space="0" w:color="auto"/>
            <w:left w:val="none" w:sz="0" w:space="0" w:color="auto"/>
            <w:bottom w:val="none" w:sz="0" w:space="0" w:color="auto"/>
            <w:right w:val="none" w:sz="0" w:space="0" w:color="auto"/>
          </w:divBdr>
        </w:div>
      </w:divsChild>
    </w:div>
    <w:div w:id="794523080">
      <w:bodyDiv w:val="1"/>
      <w:marLeft w:val="0"/>
      <w:marRight w:val="0"/>
      <w:marTop w:val="0"/>
      <w:marBottom w:val="0"/>
      <w:divBdr>
        <w:top w:val="none" w:sz="0" w:space="0" w:color="auto"/>
        <w:left w:val="none" w:sz="0" w:space="0" w:color="auto"/>
        <w:bottom w:val="none" w:sz="0" w:space="0" w:color="auto"/>
        <w:right w:val="none" w:sz="0" w:space="0" w:color="auto"/>
      </w:divBdr>
      <w:divsChild>
        <w:div w:id="927420650">
          <w:marLeft w:val="0"/>
          <w:marRight w:val="0"/>
          <w:marTop w:val="0"/>
          <w:marBottom w:val="0"/>
          <w:divBdr>
            <w:top w:val="none" w:sz="0" w:space="0" w:color="auto"/>
            <w:left w:val="none" w:sz="0" w:space="0" w:color="auto"/>
            <w:bottom w:val="none" w:sz="0" w:space="0" w:color="auto"/>
            <w:right w:val="none" w:sz="0" w:space="0" w:color="auto"/>
          </w:divBdr>
        </w:div>
      </w:divsChild>
    </w:div>
    <w:div w:id="798764044">
      <w:bodyDiv w:val="1"/>
      <w:marLeft w:val="0"/>
      <w:marRight w:val="0"/>
      <w:marTop w:val="0"/>
      <w:marBottom w:val="0"/>
      <w:divBdr>
        <w:top w:val="none" w:sz="0" w:space="0" w:color="auto"/>
        <w:left w:val="none" w:sz="0" w:space="0" w:color="auto"/>
        <w:bottom w:val="none" w:sz="0" w:space="0" w:color="auto"/>
        <w:right w:val="none" w:sz="0" w:space="0" w:color="auto"/>
      </w:divBdr>
      <w:divsChild>
        <w:div w:id="1668825273">
          <w:marLeft w:val="0"/>
          <w:marRight w:val="0"/>
          <w:marTop w:val="0"/>
          <w:marBottom w:val="240"/>
          <w:divBdr>
            <w:top w:val="none" w:sz="0" w:space="0" w:color="auto"/>
            <w:left w:val="none" w:sz="0" w:space="0" w:color="auto"/>
            <w:bottom w:val="none" w:sz="0" w:space="0" w:color="auto"/>
            <w:right w:val="none" w:sz="0" w:space="0" w:color="auto"/>
          </w:divBdr>
        </w:div>
        <w:div w:id="61493750">
          <w:marLeft w:val="0"/>
          <w:marRight w:val="0"/>
          <w:marTop w:val="0"/>
          <w:marBottom w:val="240"/>
          <w:divBdr>
            <w:top w:val="none" w:sz="0" w:space="0" w:color="auto"/>
            <w:left w:val="none" w:sz="0" w:space="0" w:color="auto"/>
            <w:bottom w:val="none" w:sz="0" w:space="0" w:color="auto"/>
            <w:right w:val="none" w:sz="0" w:space="0" w:color="auto"/>
          </w:divBdr>
        </w:div>
        <w:div w:id="1894123431">
          <w:marLeft w:val="0"/>
          <w:marRight w:val="0"/>
          <w:marTop w:val="0"/>
          <w:marBottom w:val="240"/>
          <w:divBdr>
            <w:top w:val="none" w:sz="0" w:space="0" w:color="auto"/>
            <w:left w:val="none" w:sz="0" w:space="0" w:color="auto"/>
            <w:bottom w:val="none" w:sz="0" w:space="0" w:color="auto"/>
            <w:right w:val="none" w:sz="0" w:space="0" w:color="auto"/>
          </w:divBdr>
        </w:div>
        <w:div w:id="705914724">
          <w:marLeft w:val="0"/>
          <w:marRight w:val="0"/>
          <w:marTop w:val="0"/>
          <w:marBottom w:val="240"/>
          <w:divBdr>
            <w:top w:val="none" w:sz="0" w:space="0" w:color="auto"/>
            <w:left w:val="none" w:sz="0" w:space="0" w:color="auto"/>
            <w:bottom w:val="none" w:sz="0" w:space="0" w:color="auto"/>
            <w:right w:val="none" w:sz="0" w:space="0" w:color="auto"/>
          </w:divBdr>
        </w:div>
        <w:div w:id="450129044">
          <w:marLeft w:val="0"/>
          <w:marRight w:val="0"/>
          <w:marTop w:val="0"/>
          <w:marBottom w:val="240"/>
          <w:divBdr>
            <w:top w:val="none" w:sz="0" w:space="0" w:color="auto"/>
            <w:left w:val="none" w:sz="0" w:space="0" w:color="auto"/>
            <w:bottom w:val="none" w:sz="0" w:space="0" w:color="auto"/>
            <w:right w:val="none" w:sz="0" w:space="0" w:color="auto"/>
          </w:divBdr>
        </w:div>
        <w:div w:id="26373716">
          <w:marLeft w:val="0"/>
          <w:marRight w:val="0"/>
          <w:marTop w:val="0"/>
          <w:marBottom w:val="240"/>
          <w:divBdr>
            <w:top w:val="none" w:sz="0" w:space="0" w:color="auto"/>
            <w:left w:val="none" w:sz="0" w:space="0" w:color="auto"/>
            <w:bottom w:val="none" w:sz="0" w:space="0" w:color="auto"/>
            <w:right w:val="none" w:sz="0" w:space="0" w:color="auto"/>
          </w:divBdr>
        </w:div>
      </w:divsChild>
    </w:div>
    <w:div w:id="852888626">
      <w:bodyDiv w:val="1"/>
      <w:marLeft w:val="0"/>
      <w:marRight w:val="0"/>
      <w:marTop w:val="0"/>
      <w:marBottom w:val="0"/>
      <w:divBdr>
        <w:top w:val="none" w:sz="0" w:space="0" w:color="auto"/>
        <w:left w:val="none" w:sz="0" w:space="0" w:color="auto"/>
        <w:bottom w:val="none" w:sz="0" w:space="0" w:color="auto"/>
        <w:right w:val="none" w:sz="0" w:space="0" w:color="auto"/>
      </w:divBdr>
      <w:divsChild>
        <w:div w:id="612059062">
          <w:marLeft w:val="0"/>
          <w:marRight w:val="0"/>
          <w:marTop w:val="0"/>
          <w:marBottom w:val="240"/>
          <w:divBdr>
            <w:top w:val="none" w:sz="0" w:space="0" w:color="auto"/>
            <w:left w:val="none" w:sz="0" w:space="0" w:color="auto"/>
            <w:bottom w:val="none" w:sz="0" w:space="0" w:color="auto"/>
            <w:right w:val="none" w:sz="0" w:space="0" w:color="auto"/>
          </w:divBdr>
        </w:div>
      </w:divsChild>
    </w:div>
    <w:div w:id="859855252">
      <w:bodyDiv w:val="1"/>
      <w:marLeft w:val="0"/>
      <w:marRight w:val="0"/>
      <w:marTop w:val="0"/>
      <w:marBottom w:val="0"/>
      <w:divBdr>
        <w:top w:val="none" w:sz="0" w:space="0" w:color="auto"/>
        <w:left w:val="none" w:sz="0" w:space="0" w:color="auto"/>
        <w:bottom w:val="none" w:sz="0" w:space="0" w:color="auto"/>
        <w:right w:val="none" w:sz="0" w:space="0" w:color="auto"/>
      </w:divBdr>
      <w:divsChild>
        <w:div w:id="671184690">
          <w:marLeft w:val="0"/>
          <w:marRight w:val="0"/>
          <w:marTop w:val="0"/>
          <w:marBottom w:val="240"/>
          <w:divBdr>
            <w:top w:val="none" w:sz="0" w:space="0" w:color="auto"/>
            <w:left w:val="none" w:sz="0" w:space="0" w:color="auto"/>
            <w:bottom w:val="none" w:sz="0" w:space="0" w:color="auto"/>
            <w:right w:val="none" w:sz="0" w:space="0" w:color="auto"/>
          </w:divBdr>
        </w:div>
        <w:div w:id="1403332128">
          <w:marLeft w:val="0"/>
          <w:marRight w:val="0"/>
          <w:marTop w:val="0"/>
          <w:marBottom w:val="240"/>
          <w:divBdr>
            <w:top w:val="none" w:sz="0" w:space="0" w:color="auto"/>
            <w:left w:val="none" w:sz="0" w:space="0" w:color="auto"/>
            <w:bottom w:val="none" w:sz="0" w:space="0" w:color="auto"/>
            <w:right w:val="none" w:sz="0" w:space="0" w:color="auto"/>
          </w:divBdr>
        </w:div>
      </w:divsChild>
    </w:div>
    <w:div w:id="1027487546">
      <w:bodyDiv w:val="1"/>
      <w:marLeft w:val="0"/>
      <w:marRight w:val="0"/>
      <w:marTop w:val="0"/>
      <w:marBottom w:val="0"/>
      <w:divBdr>
        <w:top w:val="none" w:sz="0" w:space="0" w:color="auto"/>
        <w:left w:val="none" w:sz="0" w:space="0" w:color="auto"/>
        <w:bottom w:val="none" w:sz="0" w:space="0" w:color="auto"/>
        <w:right w:val="none" w:sz="0" w:space="0" w:color="auto"/>
      </w:divBdr>
      <w:divsChild>
        <w:div w:id="837229098">
          <w:marLeft w:val="0"/>
          <w:marRight w:val="0"/>
          <w:marTop w:val="0"/>
          <w:marBottom w:val="240"/>
          <w:divBdr>
            <w:top w:val="none" w:sz="0" w:space="0" w:color="auto"/>
            <w:left w:val="none" w:sz="0" w:space="0" w:color="auto"/>
            <w:bottom w:val="none" w:sz="0" w:space="0" w:color="auto"/>
            <w:right w:val="none" w:sz="0" w:space="0" w:color="auto"/>
          </w:divBdr>
        </w:div>
      </w:divsChild>
    </w:div>
    <w:div w:id="1057511078">
      <w:bodyDiv w:val="1"/>
      <w:marLeft w:val="0"/>
      <w:marRight w:val="0"/>
      <w:marTop w:val="0"/>
      <w:marBottom w:val="0"/>
      <w:divBdr>
        <w:top w:val="none" w:sz="0" w:space="0" w:color="auto"/>
        <w:left w:val="none" w:sz="0" w:space="0" w:color="auto"/>
        <w:bottom w:val="none" w:sz="0" w:space="0" w:color="auto"/>
        <w:right w:val="none" w:sz="0" w:space="0" w:color="auto"/>
      </w:divBdr>
      <w:divsChild>
        <w:div w:id="767583321">
          <w:marLeft w:val="0"/>
          <w:marRight w:val="0"/>
          <w:marTop w:val="0"/>
          <w:marBottom w:val="240"/>
          <w:divBdr>
            <w:top w:val="none" w:sz="0" w:space="0" w:color="auto"/>
            <w:left w:val="none" w:sz="0" w:space="0" w:color="auto"/>
            <w:bottom w:val="none" w:sz="0" w:space="0" w:color="auto"/>
            <w:right w:val="none" w:sz="0" w:space="0" w:color="auto"/>
          </w:divBdr>
        </w:div>
      </w:divsChild>
    </w:div>
    <w:div w:id="1131439415">
      <w:bodyDiv w:val="1"/>
      <w:marLeft w:val="0"/>
      <w:marRight w:val="0"/>
      <w:marTop w:val="0"/>
      <w:marBottom w:val="0"/>
      <w:divBdr>
        <w:top w:val="none" w:sz="0" w:space="0" w:color="auto"/>
        <w:left w:val="none" w:sz="0" w:space="0" w:color="auto"/>
        <w:bottom w:val="none" w:sz="0" w:space="0" w:color="auto"/>
        <w:right w:val="none" w:sz="0" w:space="0" w:color="auto"/>
      </w:divBdr>
      <w:divsChild>
        <w:div w:id="1663393473">
          <w:marLeft w:val="0"/>
          <w:marRight w:val="0"/>
          <w:marTop w:val="0"/>
          <w:marBottom w:val="240"/>
          <w:divBdr>
            <w:top w:val="none" w:sz="0" w:space="0" w:color="auto"/>
            <w:left w:val="none" w:sz="0" w:space="0" w:color="auto"/>
            <w:bottom w:val="none" w:sz="0" w:space="0" w:color="auto"/>
            <w:right w:val="none" w:sz="0" w:space="0" w:color="auto"/>
          </w:divBdr>
        </w:div>
        <w:div w:id="1105733264">
          <w:marLeft w:val="0"/>
          <w:marRight w:val="0"/>
          <w:marTop w:val="0"/>
          <w:marBottom w:val="240"/>
          <w:divBdr>
            <w:top w:val="none" w:sz="0" w:space="0" w:color="auto"/>
            <w:left w:val="none" w:sz="0" w:space="0" w:color="auto"/>
            <w:bottom w:val="none" w:sz="0" w:space="0" w:color="auto"/>
            <w:right w:val="none" w:sz="0" w:space="0" w:color="auto"/>
          </w:divBdr>
        </w:div>
        <w:div w:id="1734963652">
          <w:marLeft w:val="0"/>
          <w:marRight w:val="0"/>
          <w:marTop w:val="0"/>
          <w:marBottom w:val="240"/>
          <w:divBdr>
            <w:top w:val="none" w:sz="0" w:space="0" w:color="auto"/>
            <w:left w:val="none" w:sz="0" w:space="0" w:color="auto"/>
            <w:bottom w:val="none" w:sz="0" w:space="0" w:color="auto"/>
            <w:right w:val="none" w:sz="0" w:space="0" w:color="auto"/>
          </w:divBdr>
        </w:div>
        <w:div w:id="164365189">
          <w:marLeft w:val="0"/>
          <w:marRight w:val="0"/>
          <w:marTop w:val="0"/>
          <w:marBottom w:val="240"/>
          <w:divBdr>
            <w:top w:val="none" w:sz="0" w:space="0" w:color="auto"/>
            <w:left w:val="none" w:sz="0" w:space="0" w:color="auto"/>
            <w:bottom w:val="none" w:sz="0" w:space="0" w:color="auto"/>
            <w:right w:val="none" w:sz="0" w:space="0" w:color="auto"/>
          </w:divBdr>
        </w:div>
        <w:div w:id="194974499">
          <w:marLeft w:val="0"/>
          <w:marRight w:val="0"/>
          <w:marTop w:val="0"/>
          <w:marBottom w:val="240"/>
          <w:divBdr>
            <w:top w:val="none" w:sz="0" w:space="0" w:color="auto"/>
            <w:left w:val="none" w:sz="0" w:space="0" w:color="auto"/>
            <w:bottom w:val="none" w:sz="0" w:space="0" w:color="auto"/>
            <w:right w:val="none" w:sz="0" w:space="0" w:color="auto"/>
          </w:divBdr>
        </w:div>
      </w:divsChild>
    </w:div>
    <w:div w:id="1133475223">
      <w:bodyDiv w:val="1"/>
      <w:marLeft w:val="0"/>
      <w:marRight w:val="0"/>
      <w:marTop w:val="0"/>
      <w:marBottom w:val="0"/>
      <w:divBdr>
        <w:top w:val="none" w:sz="0" w:space="0" w:color="auto"/>
        <w:left w:val="none" w:sz="0" w:space="0" w:color="auto"/>
        <w:bottom w:val="none" w:sz="0" w:space="0" w:color="auto"/>
        <w:right w:val="none" w:sz="0" w:space="0" w:color="auto"/>
      </w:divBdr>
      <w:divsChild>
        <w:div w:id="1879007535">
          <w:marLeft w:val="0"/>
          <w:marRight w:val="0"/>
          <w:marTop w:val="0"/>
          <w:marBottom w:val="240"/>
          <w:divBdr>
            <w:top w:val="none" w:sz="0" w:space="0" w:color="auto"/>
            <w:left w:val="none" w:sz="0" w:space="0" w:color="auto"/>
            <w:bottom w:val="none" w:sz="0" w:space="0" w:color="auto"/>
            <w:right w:val="none" w:sz="0" w:space="0" w:color="auto"/>
          </w:divBdr>
        </w:div>
        <w:div w:id="1903173609">
          <w:marLeft w:val="0"/>
          <w:marRight w:val="0"/>
          <w:marTop w:val="0"/>
          <w:marBottom w:val="240"/>
          <w:divBdr>
            <w:top w:val="none" w:sz="0" w:space="0" w:color="auto"/>
            <w:left w:val="none" w:sz="0" w:space="0" w:color="auto"/>
            <w:bottom w:val="none" w:sz="0" w:space="0" w:color="auto"/>
            <w:right w:val="none" w:sz="0" w:space="0" w:color="auto"/>
          </w:divBdr>
        </w:div>
        <w:div w:id="1022512480">
          <w:marLeft w:val="0"/>
          <w:marRight w:val="0"/>
          <w:marTop w:val="0"/>
          <w:marBottom w:val="240"/>
          <w:divBdr>
            <w:top w:val="none" w:sz="0" w:space="0" w:color="auto"/>
            <w:left w:val="none" w:sz="0" w:space="0" w:color="auto"/>
            <w:bottom w:val="none" w:sz="0" w:space="0" w:color="auto"/>
            <w:right w:val="none" w:sz="0" w:space="0" w:color="auto"/>
          </w:divBdr>
        </w:div>
        <w:div w:id="1904215083">
          <w:marLeft w:val="0"/>
          <w:marRight w:val="0"/>
          <w:marTop w:val="0"/>
          <w:marBottom w:val="240"/>
          <w:divBdr>
            <w:top w:val="none" w:sz="0" w:space="0" w:color="auto"/>
            <w:left w:val="none" w:sz="0" w:space="0" w:color="auto"/>
            <w:bottom w:val="none" w:sz="0" w:space="0" w:color="auto"/>
            <w:right w:val="none" w:sz="0" w:space="0" w:color="auto"/>
          </w:divBdr>
        </w:div>
        <w:div w:id="1977252137">
          <w:marLeft w:val="0"/>
          <w:marRight w:val="0"/>
          <w:marTop w:val="0"/>
          <w:marBottom w:val="240"/>
          <w:divBdr>
            <w:top w:val="none" w:sz="0" w:space="0" w:color="auto"/>
            <w:left w:val="none" w:sz="0" w:space="0" w:color="auto"/>
            <w:bottom w:val="none" w:sz="0" w:space="0" w:color="auto"/>
            <w:right w:val="none" w:sz="0" w:space="0" w:color="auto"/>
          </w:divBdr>
        </w:div>
        <w:div w:id="1450783509">
          <w:marLeft w:val="0"/>
          <w:marRight w:val="0"/>
          <w:marTop w:val="0"/>
          <w:marBottom w:val="240"/>
          <w:divBdr>
            <w:top w:val="none" w:sz="0" w:space="0" w:color="auto"/>
            <w:left w:val="none" w:sz="0" w:space="0" w:color="auto"/>
            <w:bottom w:val="none" w:sz="0" w:space="0" w:color="auto"/>
            <w:right w:val="none" w:sz="0" w:space="0" w:color="auto"/>
          </w:divBdr>
        </w:div>
        <w:div w:id="1120564259">
          <w:marLeft w:val="0"/>
          <w:marRight w:val="0"/>
          <w:marTop w:val="0"/>
          <w:marBottom w:val="240"/>
          <w:divBdr>
            <w:top w:val="none" w:sz="0" w:space="0" w:color="auto"/>
            <w:left w:val="none" w:sz="0" w:space="0" w:color="auto"/>
            <w:bottom w:val="none" w:sz="0" w:space="0" w:color="auto"/>
            <w:right w:val="none" w:sz="0" w:space="0" w:color="auto"/>
          </w:divBdr>
        </w:div>
        <w:div w:id="302008243">
          <w:marLeft w:val="0"/>
          <w:marRight w:val="0"/>
          <w:marTop w:val="0"/>
          <w:marBottom w:val="240"/>
          <w:divBdr>
            <w:top w:val="none" w:sz="0" w:space="0" w:color="auto"/>
            <w:left w:val="none" w:sz="0" w:space="0" w:color="auto"/>
            <w:bottom w:val="none" w:sz="0" w:space="0" w:color="auto"/>
            <w:right w:val="none" w:sz="0" w:space="0" w:color="auto"/>
          </w:divBdr>
        </w:div>
      </w:divsChild>
    </w:div>
    <w:div w:id="1167281781">
      <w:bodyDiv w:val="1"/>
      <w:marLeft w:val="0"/>
      <w:marRight w:val="0"/>
      <w:marTop w:val="0"/>
      <w:marBottom w:val="0"/>
      <w:divBdr>
        <w:top w:val="none" w:sz="0" w:space="0" w:color="auto"/>
        <w:left w:val="none" w:sz="0" w:space="0" w:color="auto"/>
        <w:bottom w:val="none" w:sz="0" w:space="0" w:color="auto"/>
        <w:right w:val="none" w:sz="0" w:space="0" w:color="auto"/>
      </w:divBdr>
      <w:divsChild>
        <w:div w:id="662665283">
          <w:marLeft w:val="0"/>
          <w:marRight w:val="0"/>
          <w:marTop w:val="0"/>
          <w:marBottom w:val="240"/>
          <w:divBdr>
            <w:top w:val="none" w:sz="0" w:space="0" w:color="auto"/>
            <w:left w:val="none" w:sz="0" w:space="0" w:color="auto"/>
            <w:bottom w:val="none" w:sz="0" w:space="0" w:color="auto"/>
            <w:right w:val="none" w:sz="0" w:space="0" w:color="auto"/>
          </w:divBdr>
        </w:div>
        <w:div w:id="1355497179">
          <w:marLeft w:val="0"/>
          <w:marRight w:val="0"/>
          <w:marTop w:val="0"/>
          <w:marBottom w:val="240"/>
          <w:divBdr>
            <w:top w:val="none" w:sz="0" w:space="0" w:color="auto"/>
            <w:left w:val="none" w:sz="0" w:space="0" w:color="auto"/>
            <w:bottom w:val="none" w:sz="0" w:space="0" w:color="auto"/>
            <w:right w:val="none" w:sz="0" w:space="0" w:color="auto"/>
          </w:divBdr>
        </w:div>
        <w:div w:id="43988153">
          <w:marLeft w:val="0"/>
          <w:marRight w:val="0"/>
          <w:marTop w:val="0"/>
          <w:marBottom w:val="240"/>
          <w:divBdr>
            <w:top w:val="none" w:sz="0" w:space="0" w:color="auto"/>
            <w:left w:val="none" w:sz="0" w:space="0" w:color="auto"/>
            <w:bottom w:val="none" w:sz="0" w:space="0" w:color="auto"/>
            <w:right w:val="none" w:sz="0" w:space="0" w:color="auto"/>
          </w:divBdr>
        </w:div>
      </w:divsChild>
    </w:div>
    <w:div w:id="1271085705">
      <w:bodyDiv w:val="1"/>
      <w:marLeft w:val="0"/>
      <w:marRight w:val="0"/>
      <w:marTop w:val="0"/>
      <w:marBottom w:val="0"/>
      <w:divBdr>
        <w:top w:val="none" w:sz="0" w:space="0" w:color="auto"/>
        <w:left w:val="none" w:sz="0" w:space="0" w:color="auto"/>
        <w:bottom w:val="none" w:sz="0" w:space="0" w:color="auto"/>
        <w:right w:val="none" w:sz="0" w:space="0" w:color="auto"/>
      </w:divBdr>
      <w:divsChild>
        <w:div w:id="14308799">
          <w:marLeft w:val="0"/>
          <w:marRight w:val="0"/>
          <w:marTop w:val="0"/>
          <w:marBottom w:val="240"/>
          <w:divBdr>
            <w:top w:val="none" w:sz="0" w:space="0" w:color="auto"/>
            <w:left w:val="none" w:sz="0" w:space="0" w:color="auto"/>
            <w:bottom w:val="none" w:sz="0" w:space="0" w:color="auto"/>
            <w:right w:val="none" w:sz="0" w:space="0" w:color="auto"/>
          </w:divBdr>
        </w:div>
        <w:div w:id="692267937">
          <w:marLeft w:val="0"/>
          <w:marRight w:val="0"/>
          <w:marTop w:val="0"/>
          <w:marBottom w:val="240"/>
          <w:divBdr>
            <w:top w:val="none" w:sz="0" w:space="0" w:color="auto"/>
            <w:left w:val="none" w:sz="0" w:space="0" w:color="auto"/>
            <w:bottom w:val="none" w:sz="0" w:space="0" w:color="auto"/>
            <w:right w:val="none" w:sz="0" w:space="0" w:color="auto"/>
          </w:divBdr>
        </w:div>
      </w:divsChild>
    </w:div>
    <w:div w:id="1271355339">
      <w:bodyDiv w:val="1"/>
      <w:marLeft w:val="0"/>
      <w:marRight w:val="0"/>
      <w:marTop w:val="0"/>
      <w:marBottom w:val="0"/>
      <w:divBdr>
        <w:top w:val="none" w:sz="0" w:space="0" w:color="auto"/>
        <w:left w:val="none" w:sz="0" w:space="0" w:color="auto"/>
        <w:bottom w:val="none" w:sz="0" w:space="0" w:color="auto"/>
        <w:right w:val="none" w:sz="0" w:space="0" w:color="auto"/>
      </w:divBdr>
      <w:divsChild>
        <w:div w:id="1177620810">
          <w:marLeft w:val="0"/>
          <w:marRight w:val="0"/>
          <w:marTop w:val="0"/>
          <w:marBottom w:val="240"/>
          <w:divBdr>
            <w:top w:val="none" w:sz="0" w:space="0" w:color="auto"/>
            <w:left w:val="none" w:sz="0" w:space="0" w:color="auto"/>
            <w:bottom w:val="none" w:sz="0" w:space="0" w:color="auto"/>
            <w:right w:val="none" w:sz="0" w:space="0" w:color="auto"/>
          </w:divBdr>
        </w:div>
      </w:divsChild>
    </w:div>
    <w:div w:id="1322082694">
      <w:bodyDiv w:val="1"/>
      <w:marLeft w:val="0"/>
      <w:marRight w:val="0"/>
      <w:marTop w:val="0"/>
      <w:marBottom w:val="0"/>
      <w:divBdr>
        <w:top w:val="none" w:sz="0" w:space="0" w:color="auto"/>
        <w:left w:val="none" w:sz="0" w:space="0" w:color="auto"/>
        <w:bottom w:val="none" w:sz="0" w:space="0" w:color="auto"/>
        <w:right w:val="none" w:sz="0" w:space="0" w:color="auto"/>
      </w:divBdr>
      <w:divsChild>
        <w:div w:id="70784677">
          <w:marLeft w:val="0"/>
          <w:marRight w:val="0"/>
          <w:marTop w:val="0"/>
          <w:marBottom w:val="240"/>
          <w:divBdr>
            <w:top w:val="none" w:sz="0" w:space="0" w:color="auto"/>
            <w:left w:val="none" w:sz="0" w:space="0" w:color="auto"/>
            <w:bottom w:val="none" w:sz="0" w:space="0" w:color="auto"/>
            <w:right w:val="none" w:sz="0" w:space="0" w:color="auto"/>
          </w:divBdr>
        </w:div>
        <w:div w:id="941952854">
          <w:marLeft w:val="0"/>
          <w:marRight w:val="0"/>
          <w:marTop w:val="0"/>
          <w:marBottom w:val="240"/>
          <w:divBdr>
            <w:top w:val="none" w:sz="0" w:space="0" w:color="auto"/>
            <w:left w:val="none" w:sz="0" w:space="0" w:color="auto"/>
            <w:bottom w:val="none" w:sz="0" w:space="0" w:color="auto"/>
            <w:right w:val="none" w:sz="0" w:space="0" w:color="auto"/>
          </w:divBdr>
        </w:div>
        <w:div w:id="1415396305">
          <w:marLeft w:val="0"/>
          <w:marRight w:val="0"/>
          <w:marTop w:val="0"/>
          <w:marBottom w:val="240"/>
          <w:divBdr>
            <w:top w:val="none" w:sz="0" w:space="0" w:color="auto"/>
            <w:left w:val="none" w:sz="0" w:space="0" w:color="auto"/>
            <w:bottom w:val="none" w:sz="0" w:space="0" w:color="auto"/>
            <w:right w:val="none" w:sz="0" w:space="0" w:color="auto"/>
          </w:divBdr>
        </w:div>
        <w:div w:id="1340692515">
          <w:marLeft w:val="0"/>
          <w:marRight w:val="0"/>
          <w:marTop w:val="0"/>
          <w:marBottom w:val="240"/>
          <w:divBdr>
            <w:top w:val="none" w:sz="0" w:space="0" w:color="auto"/>
            <w:left w:val="none" w:sz="0" w:space="0" w:color="auto"/>
            <w:bottom w:val="none" w:sz="0" w:space="0" w:color="auto"/>
            <w:right w:val="none" w:sz="0" w:space="0" w:color="auto"/>
          </w:divBdr>
        </w:div>
      </w:divsChild>
    </w:div>
    <w:div w:id="1347554851">
      <w:bodyDiv w:val="1"/>
      <w:marLeft w:val="0"/>
      <w:marRight w:val="0"/>
      <w:marTop w:val="0"/>
      <w:marBottom w:val="0"/>
      <w:divBdr>
        <w:top w:val="none" w:sz="0" w:space="0" w:color="auto"/>
        <w:left w:val="none" w:sz="0" w:space="0" w:color="auto"/>
        <w:bottom w:val="none" w:sz="0" w:space="0" w:color="auto"/>
        <w:right w:val="none" w:sz="0" w:space="0" w:color="auto"/>
      </w:divBdr>
      <w:divsChild>
        <w:div w:id="1783694112">
          <w:marLeft w:val="0"/>
          <w:marRight w:val="0"/>
          <w:marTop w:val="0"/>
          <w:marBottom w:val="240"/>
          <w:divBdr>
            <w:top w:val="none" w:sz="0" w:space="0" w:color="auto"/>
            <w:left w:val="none" w:sz="0" w:space="0" w:color="auto"/>
            <w:bottom w:val="none" w:sz="0" w:space="0" w:color="auto"/>
            <w:right w:val="none" w:sz="0" w:space="0" w:color="auto"/>
          </w:divBdr>
        </w:div>
        <w:div w:id="1570532101">
          <w:marLeft w:val="0"/>
          <w:marRight w:val="0"/>
          <w:marTop w:val="0"/>
          <w:marBottom w:val="240"/>
          <w:divBdr>
            <w:top w:val="none" w:sz="0" w:space="0" w:color="auto"/>
            <w:left w:val="none" w:sz="0" w:space="0" w:color="auto"/>
            <w:bottom w:val="none" w:sz="0" w:space="0" w:color="auto"/>
            <w:right w:val="none" w:sz="0" w:space="0" w:color="auto"/>
          </w:divBdr>
        </w:div>
      </w:divsChild>
    </w:div>
    <w:div w:id="1353797082">
      <w:bodyDiv w:val="1"/>
      <w:marLeft w:val="0"/>
      <w:marRight w:val="0"/>
      <w:marTop w:val="0"/>
      <w:marBottom w:val="0"/>
      <w:divBdr>
        <w:top w:val="none" w:sz="0" w:space="0" w:color="auto"/>
        <w:left w:val="none" w:sz="0" w:space="0" w:color="auto"/>
        <w:bottom w:val="none" w:sz="0" w:space="0" w:color="auto"/>
        <w:right w:val="none" w:sz="0" w:space="0" w:color="auto"/>
      </w:divBdr>
      <w:divsChild>
        <w:div w:id="1164710941">
          <w:marLeft w:val="0"/>
          <w:marRight w:val="0"/>
          <w:marTop w:val="0"/>
          <w:marBottom w:val="240"/>
          <w:divBdr>
            <w:top w:val="none" w:sz="0" w:space="0" w:color="auto"/>
            <w:left w:val="none" w:sz="0" w:space="0" w:color="auto"/>
            <w:bottom w:val="none" w:sz="0" w:space="0" w:color="auto"/>
            <w:right w:val="none" w:sz="0" w:space="0" w:color="auto"/>
          </w:divBdr>
        </w:div>
        <w:div w:id="527521892">
          <w:marLeft w:val="0"/>
          <w:marRight w:val="0"/>
          <w:marTop w:val="0"/>
          <w:marBottom w:val="240"/>
          <w:divBdr>
            <w:top w:val="none" w:sz="0" w:space="0" w:color="auto"/>
            <w:left w:val="none" w:sz="0" w:space="0" w:color="auto"/>
            <w:bottom w:val="none" w:sz="0" w:space="0" w:color="auto"/>
            <w:right w:val="none" w:sz="0" w:space="0" w:color="auto"/>
          </w:divBdr>
        </w:div>
        <w:div w:id="246426018">
          <w:marLeft w:val="0"/>
          <w:marRight w:val="0"/>
          <w:marTop w:val="0"/>
          <w:marBottom w:val="240"/>
          <w:divBdr>
            <w:top w:val="none" w:sz="0" w:space="0" w:color="auto"/>
            <w:left w:val="none" w:sz="0" w:space="0" w:color="auto"/>
            <w:bottom w:val="none" w:sz="0" w:space="0" w:color="auto"/>
            <w:right w:val="none" w:sz="0" w:space="0" w:color="auto"/>
          </w:divBdr>
        </w:div>
      </w:divsChild>
    </w:div>
    <w:div w:id="1359963764">
      <w:bodyDiv w:val="1"/>
      <w:marLeft w:val="0"/>
      <w:marRight w:val="0"/>
      <w:marTop w:val="0"/>
      <w:marBottom w:val="0"/>
      <w:divBdr>
        <w:top w:val="none" w:sz="0" w:space="0" w:color="auto"/>
        <w:left w:val="none" w:sz="0" w:space="0" w:color="auto"/>
        <w:bottom w:val="none" w:sz="0" w:space="0" w:color="auto"/>
        <w:right w:val="none" w:sz="0" w:space="0" w:color="auto"/>
      </w:divBdr>
    </w:div>
    <w:div w:id="1384330219">
      <w:bodyDiv w:val="1"/>
      <w:marLeft w:val="0"/>
      <w:marRight w:val="0"/>
      <w:marTop w:val="0"/>
      <w:marBottom w:val="0"/>
      <w:divBdr>
        <w:top w:val="none" w:sz="0" w:space="0" w:color="auto"/>
        <w:left w:val="none" w:sz="0" w:space="0" w:color="auto"/>
        <w:bottom w:val="none" w:sz="0" w:space="0" w:color="auto"/>
        <w:right w:val="none" w:sz="0" w:space="0" w:color="auto"/>
      </w:divBdr>
      <w:divsChild>
        <w:div w:id="13073331">
          <w:marLeft w:val="0"/>
          <w:marRight w:val="0"/>
          <w:marTop w:val="0"/>
          <w:marBottom w:val="240"/>
          <w:divBdr>
            <w:top w:val="none" w:sz="0" w:space="0" w:color="auto"/>
            <w:left w:val="none" w:sz="0" w:space="0" w:color="auto"/>
            <w:bottom w:val="none" w:sz="0" w:space="0" w:color="auto"/>
            <w:right w:val="none" w:sz="0" w:space="0" w:color="auto"/>
          </w:divBdr>
        </w:div>
        <w:div w:id="951670253">
          <w:marLeft w:val="0"/>
          <w:marRight w:val="0"/>
          <w:marTop w:val="0"/>
          <w:marBottom w:val="240"/>
          <w:divBdr>
            <w:top w:val="none" w:sz="0" w:space="0" w:color="auto"/>
            <w:left w:val="none" w:sz="0" w:space="0" w:color="auto"/>
            <w:bottom w:val="none" w:sz="0" w:space="0" w:color="auto"/>
            <w:right w:val="none" w:sz="0" w:space="0" w:color="auto"/>
          </w:divBdr>
        </w:div>
        <w:div w:id="188757984">
          <w:marLeft w:val="0"/>
          <w:marRight w:val="0"/>
          <w:marTop w:val="0"/>
          <w:marBottom w:val="240"/>
          <w:divBdr>
            <w:top w:val="none" w:sz="0" w:space="0" w:color="auto"/>
            <w:left w:val="none" w:sz="0" w:space="0" w:color="auto"/>
            <w:bottom w:val="none" w:sz="0" w:space="0" w:color="auto"/>
            <w:right w:val="none" w:sz="0" w:space="0" w:color="auto"/>
          </w:divBdr>
        </w:div>
        <w:div w:id="605697918">
          <w:marLeft w:val="0"/>
          <w:marRight w:val="0"/>
          <w:marTop w:val="0"/>
          <w:marBottom w:val="240"/>
          <w:divBdr>
            <w:top w:val="none" w:sz="0" w:space="0" w:color="auto"/>
            <w:left w:val="none" w:sz="0" w:space="0" w:color="auto"/>
            <w:bottom w:val="none" w:sz="0" w:space="0" w:color="auto"/>
            <w:right w:val="none" w:sz="0" w:space="0" w:color="auto"/>
          </w:divBdr>
        </w:div>
        <w:div w:id="1679113549">
          <w:marLeft w:val="0"/>
          <w:marRight w:val="0"/>
          <w:marTop w:val="0"/>
          <w:marBottom w:val="240"/>
          <w:divBdr>
            <w:top w:val="none" w:sz="0" w:space="0" w:color="auto"/>
            <w:left w:val="none" w:sz="0" w:space="0" w:color="auto"/>
            <w:bottom w:val="none" w:sz="0" w:space="0" w:color="auto"/>
            <w:right w:val="none" w:sz="0" w:space="0" w:color="auto"/>
          </w:divBdr>
        </w:div>
        <w:div w:id="1528174736">
          <w:marLeft w:val="0"/>
          <w:marRight w:val="0"/>
          <w:marTop w:val="0"/>
          <w:marBottom w:val="240"/>
          <w:divBdr>
            <w:top w:val="none" w:sz="0" w:space="0" w:color="auto"/>
            <w:left w:val="none" w:sz="0" w:space="0" w:color="auto"/>
            <w:bottom w:val="none" w:sz="0" w:space="0" w:color="auto"/>
            <w:right w:val="none" w:sz="0" w:space="0" w:color="auto"/>
          </w:divBdr>
        </w:div>
      </w:divsChild>
    </w:div>
    <w:div w:id="1395158151">
      <w:bodyDiv w:val="1"/>
      <w:marLeft w:val="0"/>
      <w:marRight w:val="0"/>
      <w:marTop w:val="0"/>
      <w:marBottom w:val="0"/>
      <w:divBdr>
        <w:top w:val="none" w:sz="0" w:space="0" w:color="auto"/>
        <w:left w:val="none" w:sz="0" w:space="0" w:color="auto"/>
        <w:bottom w:val="none" w:sz="0" w:space="0" w:color="auto"/>
        <w:right w:val="none" w:sz="0" w:space="0" w:color="auto"/>
      </w:divBdr>
      <w:divsChild>
        <w:div w:id="433667912">
          <w:marLeft w:val="0"/>
          <w:marRight w:val="0"/>
          <w:marTop w:val="0"/>
          <w:marBottom w:val="240"/>
          <w:divBdr>
            <w:top w:val="none" w:sz="0" w:space="0" w:color="auto"/>
            <w:left w:val="none" w:sz="0" w:space="0" w:color="auto"/>
            <w:bottom w:val="none" w:sz="0" w:space="0" w:color="auto"/>
            <w:right w:val="none" w:sz="0" w:space="0" w:color="auto"/>
          </w:divBdr>
        </w:div>
      </w:divsChild>
    </w:div>
    <w:div w:id="1555890395">
      <w:bodyDiv w:val="1"/>
      <w:marLeft w:val="0"/>
      <w:marRight w:val="0"/>
      <w:marTop w:val="0"/>
      <w:marBottom w:val="0"/>
      <w:divBdr>
        <w:top w:val="none" w:sz="0" w:space="0" w:color="auto"/>
        <w:left w:val="none" w:sz="0" w:space="0" w:color="auto"/>
        <w:bottom w:val="none" w:sz="0" w:space="0" w:color="auto"/>
        <w:right w:val="none" w:sz="0" w:space="0" w:color="auto"/>
      </w:divBdr>
      <w:divsChild>
        <w:div w:id="807935988">
          <w:marLeft w:val="0"/>
          <w:marRight w:val="0"/>
          <w:marTop w:val="0"/>
          <w:marBottom w:val="240"/>
          <w:divBdr>
            <w:top w:val="none" w:sz="0" w:space="0" w:color="auto"/>
            <w:left w:val="none" w:sz="0" w:space="0" w:color="auto"/>
            <w:bottom w:val="none" w:sz="0" w:space="0" w:color="auto"/>
            <w:right w:val="none" w:sz="0" w:space="0" w:color="auto"/>
          </w:divBdr>
        </w:div>
      </w:divsChild>
    </w:div>
    <w:div w:id="1647733701">
      <w:bodyDiv w:val="1"/>
      <w:marLeft w:val="0"/>
      <w:marRight w:val="0"/>
      <w:marTop w:val="0"/>
      <w:marBottom w:val="0"/>
      <w:divBdr>
        <w:top w:val="none" w:sz="0" w:space="0" w:color="auto"/>
        <w:left w:val="none" w:sz="0" w:space="0" w:color="auto"/>
        <w:bottom w:val="none" w:sz="0" w:space="0" w:color="auto"/>
        <w:right w:val="none" w:sz="0" w:space="0" w:color="auto"/>
      </w:divBdr>
      <w:divsChild>
        <w:div w:id="277876320">
          <w:marLeft w:val="0"/>
          <w:marRight w:val="0"/>
          <w:marTop w:val="0"/>
          <w:marBottom w:val="240"/>
          <w:divBdr>
            <w:top w:val="none" w:sz="0" w:space="0" w:color="auto"/>
            <w:left w:val="none" w:sz="0" w:space="0" w:color="auto"/>
            <w:bottom w:val="none" w:sz="0" w:space="0" w:color="auto"/>
            <w:right w:val="none" w:sz="0" w:space="0" w:color="auto"/>
          </w:divBdr>
        </w:div>
        <w:div w:id="152988759">
          <w:marLeft w:val="0"/>
          <w:marRight w:val="0"/>
          <w:marTop w:val="0"/>
          <w:marBottom w:val="240"/>
          <w:divBdr>
            <w:top w:val="none" w:sz="0" w:space="0" w:color="auto"/>
            <w:left w:val="none" w:sz="0" w:space="0" w:color="auto"/>
            <w:bottom w:val="none" w:sz="0" w:space="0" w:color="auto"/>
            <w:right w:val="none" w:sz="0" w:space="0" w:color="auto"/>
          </w:divBdr>
        </w:div>
        <w:div w:id="2081292321">
          <w:marLeft w:val="0"/>
          <w:marRight w:val="0"/>
          <w:marTop w:val="0"/>
          <w:marBottom w:val="240"/>
          <w:divBdr>
            <w:top w:val="none" w:sz="0" w:space="0" w:color="auto"/>
            <w:left w:val="none" w:sz="0" w:space="0" w:color="auto"/>
            <w:bottom w:val="none" w:sz="0" w:space="0" w:color="auto"/>
            <w:right w:val="none" w:sz="0" w:space="0" w:color="auto"/>
          </w:divBdr>
        </w:div>
        <w:div w:id="1869561348">
          <w:marLeft w:val="0"/>
          <w:marRight w:val="0"/>
          <w:marTop w:val="0"/>
          <w:marBottom w:val="240"/>
          <w:divBdr>
            <w:top w:val="none" w:sz="0" w:space="0" w:color="auto"/>
            <w:left w:val="none" w:sz="0" w:space="0" w:color="auto"/>
            <w:bottom w:val="none" w:sz="0" w:space="0" w:color="auto"/>
            <w:right w:val="none" w:sz="0" w:space="0" w:color="auto"/>
          </w:divBdr>
        </w:div>
        <w:div w:id="902986178">
          <w:marLeft w:val="0"/>
          <w:marRight w:val="0"/>
          <w:marTop w:val="0"/>
          <w:marBottom w:val="240"/>
          <w:divBdr>
            <w:top w:val="none" w:sz="0" w:space="0" w:color="auto"/>
            <w:left w:val="none" w:sz="0" w:space="0" w:color="auto"/>
            <w:bottom w:val="none" w:sz="0" w:space="0" w:color="auto"/>
            <w:right w:val="none" w:sz="0" w:space="0" w:color="auto"/>
          </w:divBdr>
        </w:div>
        <w:div w:id="674378104">
          <w:marLeft w:val="0"/>
          <w:marRight w:val="0"/>
          <w:marTop w:val="0"/>
          <w:marBottom w:val="240"/>
          <w:divBdr>
            <w:top w:val="none" w:sz="0" w:space="0" w:color="auto"/>
            <w:left w:val="none" w:sz="0" w:space="0" w:color="auto"/>
            <w:bottom w:val="none" w:sz="0" w:space="0" w:color="auto"/>
            <w:right w:val="none" w:sz="0" w:space="0" w:color="auto"/>
          </w:divBdr>
        </w:div>
      </w:divsChild>
    </w:div>
    <w:div w:id="2004116668">
      <w:bodyDiv w:val="1"/>
      <w:marLeft w:val="0"/>
      <w:marRight w:val="0"/>
      <w:marTop w:val="0"/>
      <w:marBottom w:val="0"/>
      <w:divBdr>
        <w:top w:val="none" w:sz="0" w:space="0" w:color="auto"/>
        <w:left w:val="none" w:sz="0" w:space="0" w:color="auto"/>
        <w:bottom w:val="none" w:sz="0" w:space="0" w:color="auto"/>
        <w:right w:val="none" w:sz="0" w:space="0" w:color="auto"/>
      </w:divBdr>
      <w:divsChild>
        <w:div w:id="408115386">
          <w:marLeft w:val="0"/>
          <w:marRight w:val="0"/>
          <w:marTop w:val="0"/>
          <w:marBottom w:val="240"/>
          <w:divBdr>
            <w:top w:val="none" w:sz="0" w:space="0" w:color="auto"/>
            <w:left w:val="none" w:sz="0" w:space="0" w:color="auto"/>
            <w:bottom w:val="none" w:sz="0" w:space="0" w:color="auto"/>
            <w:right w:val="none" w:sz="0" w:space="0" w:color="auto"/>
          </w:divBdr>
        </w:div>
      </w:divsChild>
    </w:div>
    <w:div w:id="2038583653">
      <w:bodyDiv w:val="1"/>
      <w:marLeft w:val="0"/>
      <w:marRight w:val="0"/>
      <w:marTop w:val="0"/>
      <w:marBottom w:val="0"/>
      <w:divBdr>
        <w:top w:val="none" w:sz="0" w:space="0" w:color="auto"/>
        <w:left w:val="none" w:sz="0" w:space="0" w:color="auto"/>
        <w:bottom w:val="none" w:sz="0" w:space="0" w:color="auto"/>
        <w:right w:val="none" w:sz="0" w:space="0" w:color="auto"/>
      </w:divBdr>
      <w:divsChild>
        <w:div w:id="1419137714">
          <w:marLeft w:val="0"/>
          <w:marRight w:val="0"/>
          <w:marTop w:val="0"/>
          <w:marBottom w:val="240"/>
          <w:divBdr>
            <w:top w:val="none" w:sz="0" w:space="0" w:color="auto"/>
            <w:left w:val="none" w:sz="0" w:space="0" w:color="auto"/>
            <w:bottom w:val="none" w:sz="0" w:space="0" w:color="auto"/>
            <w:right w:val="none" w:sz="0" w:space="0" w:color="auto"/>
          </w:divBdr>
        </w:div>
        <w:div w:id="552427859">
          <w:marLeft w:val="0"/>
          <w:marRight w:val="0"/>
          <w:marTop w:val="0"/>
          <w:marBottom w:val="240"/>
          <w:divBdr>
            <w:top w:val="none" w:sz="0" w:space="0" w:color="auto"/>
            <w:left w:val="none" w:sz="0" w:space="0" w:color="auto"/>
            <w:bottom w:val="none" w:sz="0" w:space="0" w:color="auto"/>
            <w:right w:val="none" w:sz="0" w:space="0" w:color="auto"/>
          </w:divBdr>
        </w:div>
        <w:div w:id="1645354963">
          <w:marLeft w:val="0"/>
          <w:marRight w:val="0"/>
          <w:marTop w:val="0"/>
          <w:marBottom w:val="240"/>
          <w:divBdr>
            <w:top w:val="none" w:sz="0" w:space="0" w:color="auto"/>
            <w:left w:val="none" w:sz="0" w:space="0" w:color="auto"/>
            <w:bottom w:val="none" w:sz="0" w:space="0" w:color="auto"/>
            <w:right w:val="none" w:sz="0" w:space="0" w:color="auto"/>
          </w:divBdr>
        </w:div>
      </w:divsChild>
    </w:div>
    <w:div w:id="2116289143">
      <w:bodyDiv w:val="1"/>
      <w:marLeft w:val="0"/>
      <w:marRight w:val="0"/>
      <w:marTop w:val="0"/>
      <w:marBottom w:val="0"/>
      <w:divBdr>
        <w:top w:val="none" w:sz="0" w:space="0" w:color="auto"/>
        <w:left w:val="none" w:sz="0" w:space="0" w:color="auto"/>
        <w:bottom w:val="none" w:sz="0" w:space="0" w:color="auto"/>
        <w:right w:val="none" w:sz="0" w:space="0" w:color="auto"/>
      </w:divBdr>
      <w:divsChild>
        <w:div w:id="362754012">
          <w:marLeft w:val="0"/>
          <w:marRight w:val="0"/>
          <w:marTop w:val="0"/>
          <w:marBottom w:val="240"/>
          <w:divBdr>
            <w:top w:val="none" w:sz="0" w:space="0" w:color="auto"/>
            <w:left w:val="none" w:sz="0" w:space="0" w:color="auto"/>
            <w:bottom w:val="none" w:sz="0" w:space="0" w:color="auto"/>
            <w:right w:val="none" w:sz="0" w:space="0" w:color="auto"/>
          </w:divBdr>
        </w:div>
        <w:div w:id="43879266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hyperlink" Target="https://www.esa.int/Space_Safety/Space_Debris/Space_debris_by_the_numbers" TargetMode="External"/><Relationship Id="rId47" Type="http://schemas.openxmlformats.org/officeDocument/2006/relationships/hyperlink" Target="https://doi.org/10.1049/PBTE077E" TargetMode="External"/><Relationship Id="rId63" Type="http://schemas.openxmlformats.org/officeDocument/2006/relationships/hyperlink" Target="https://doi.org/10.1109/ACCESS.2020.3014567" TargetMode="External"/><Relationship Id="rId68" Type="http://schemas.openxmlformats.org/officeDocument/2006/relationships/hyperlink" Target="https://doi.org/10.1007/978-3-030-33804-6" TargetMode="External"/><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doi.org/10.1109/SURV.2018.2874469" TargetMode="External"/><Relationship Id="rId40" Type="http://schemas.openxmlformats.org/officeDocument/2006/relationships/hyperlink" Target="https://doi.org/10.1002/sat.912" TargetMode="External"/><Relationship Id="rId45" Type="http://schemas.openxmlformats.org/officeDocument/2006/relationships/hyperlink" Target="https://doi.org/10.1109/TAES.2014.120723" TargetMode="External"/><Relationship Id="rId53" Type="http://schemas.openxmlformats.org/officeDocument/2006/relationships/hyperlink" Target="https://doi.org/10.1002/9780470748823" TargetMode="External"/><Relationship Id="rId58" Type="http://schemas.openxmlformats.org/officeDocument/2006/relationships/hyperlink" Target="https://doi.org/10.1002/9781119475302" TargetMode="External"/><Relationship Id="rId66" Type="http://schemas.openxmlformats.org/officeDocument/2006/relationships/hyperlink" Target="https://doi.org/10.1109/MNET.011.2000443" TargetMode="External"/><Relationship Id="rId74" Type="http://schemas.openxmlformats.org/officeDocument/2006/relationships/hyperlink" Target="https://doi.org/10.1002/9780470773393"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002/9781119341973"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doi.org/10.1049/PBTE072E" TargetMode="External"/><Relationship Id="rId48" Type="http://schemas.openxmlformats.org/officeDocument/2006/relationships/hyperlink" Target="https://doi.org/10.1109/ACCESS.2020.3014567" TargetMode="External"/><Relationship Id="rId56" Type="http://schemas.openxmlformats.org/officeDocument/2006/relationships/hyperlink" Target="https://doi.org/10.1109/COMST.2020.3028247" TargetMode="External"/><Relationship Id="rId64" Type="http://schemas.openxmlformats.org/officeDocument/2006/relationships/hyperlink" Target="https://doi.org/10.1016/j.telpol.2021.102136" TargetMode="External"/><Relationship Id="rId69" Type="http://schemas.openxmlformats.org/officeDocument/2006/relationships/hyperlink" Target="https://doi.org/10.1109/MAES.2020.2986936" TargetMode="External"/><Relationship Id="rId77" Type="http://schemas.openxmlformats.org/officeDocument/2006/relationships/hyperlink" Target="https://doi.org/10.1109/TCOMM.2021.3051897" TargetMode="External"/><Relationship Id="rId8" Type="http://schemas.openxmlformats.org/officeDocument/2006/relationships/image" Target="media/image1.png"/><Relationship Id="rId51" Type="http://schemas.openxmlformats.org/officeDocument/2006/relationships/hyperlink" Target="https://doi.org/10.1145/3563766.3564103" TargetMode="External"/><Relationship Id="rId72" Type="http://schemas.openxmlformats.org/officeDocument/2006/relationships/hyperlink" Target="https://doi.org/10.1017/CBO9780511803253"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doi.org/10.17577/IJERTCONV9IS05034" TargetMode="External"/><Relationship Id="rId46" Type="http://schemas.openxmlformats.org/officeDocument/2006/relationships/hyperlink" Target="https://doi.org/10.1109/AERO.2021.943830" TargetMode="External"/><Relationship Id="rId59" Type="http://schemas.openxmlformats.org/officeDocument/2006/relationships/hyperlink" Target="https://doi.org/10.1126/science.1121337" TargetMode="External"/><Relationship Id="rId67" Type="http://schemas.openxmlformats.org/officeDocument/2006/relationships/hyperlink" Target="https://doi.org/10.1007/978-3-030-33804-6" TargetMode="External"/><Relationship Id="rId20" Type="http://schemas.openxmlformats.org/officeDocument/2006/relationships/image" Target="media/image13.jpeg"/><Relationship Id="rId41" Type="http://schemas.openxmlformats.org/officeDocument/2006/relationships/hyperlink" Target="https://doi.org/10.1007/978-3-030-59943-4" TargetMode="External"/><Relationship Id="rId54" Type="http://schemas.openxmlformats.org/officeDocument/2006/relationships/hyperlink" Target="https://doi.org/10.1109/MWC.2016.1400202RP" TargetMode="External"/><Relationship Id="rId62" Type="http://schemas.openxmlformats.org/officeDocument/2006/relationships/hyperlink" Target="https://doi.org/10.1109/MGRS.2013.2248301" TargetMode="External"/><Relationship Id="rId70" Type="http://schemas.openxmlformats.org/officeDocument/2006/relationships/hyperlink" Target="https://doi.org/10.1016/j.actaastro.2018.02.012" TargetMode="External"/><Relationship Id="rId75" Type="http://schemas.openxmlformats.org/officeDocument/2006/relationships/hyperlink" Target="https://doi.org/10.1017/978110862233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hyperlink" Target="https://doi.org/10.1109/ICCW.2019.8756835" TargetMode="External"/><Relationship Id="rId57" Type="http://schemas.openxmlformats.org/officeDocument/2006/relationships/hyperlink" Target="https://doi.org/10.1007/b117507"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hyperlink" Target="https://doi.org/10.1002/9781119677171" TargetMode="External"/><Relationship Id="rId52" Type="http://schemas.openxmlformats.org/officeDocument/2006/relationships/hyperlink" Target="https://doi.org/10.1016/B978-0-08-097086-8.95043-0" TargetMode="External"/><Relationship Id="rId60" Type="http://schemas.openxmlformats.org/officeDocument/2006/relationships/hyperlink" Target="https://doi.org/10.1109/MWC.2017.1600344" TargetMode="External"/><Relationship Id="rId65" Type="http://schemas.openxmlformats.org/officeDocument/2006/relationships/hyperlink" Target="https://doi.org/10.1109/COMST.2004.5342290" TargetMode="External"/><Relationship Id="rId73" Type="http://schemas.openxmlformats.org/officeDocument/2006/relationships/hyperlink" Target="https://doi.org/10.1109/MSEC.2020.3044440" TargetMode="External"/><Relationship Id="rId78" Type="http://schemas.openxmlformats.org/officeDocument/2006/relationships/hyperlink" Target="https://doi.org/10.1109/COMST.2021.3055333"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hyperlink" Target="https://doi.org/10.1109/JPROC.2021.3075567" TargetMode="External"/><Relationship Id="rId34" Type="http://schemas.openxmlformats.org/officeDocument/2006/relationships/image" Target="media/image27.jpeg"/><Relationship Id="rId50" Type="http://schemas.openxmlformats.org/officeDocument/2006/relationships/hyperlink" Target="https://doi.org/10.1109/TVT.2021.3055333" TargetMode="External"/><Relationship Id="rId55" Type="http://schemas.openxmlformats.org/officeDocument/2006/relationships/hyperlink" Target="https://doi.org/10.1109/COMST.2014.2329500" TargetMode="External"/><Relationship Id="rId76" Type="http://schemas.openxmlformats.org/officeDocument/2006/relationships/hyperlink" Target="https://doi.org/10.1109/MCOM.001.2000621" TargetMode="External"/><Relationship Id="rId7" Type="http://schemas.openxmlformats.org/officeDocument/2006/relationships/endnotes" Target="endnotes.xml"/><Relationship Id="rId71" Type="http://schemas.openxmlformats.org/officeDocument/2006/relationships/hyperlink" Target="https://doi.org/10.1002/9780470714583" TargetMode="External"/><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0D15C-F205-4647-9DE0-FFF9741F8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4836</TotalTime>
  <Pages>1</Pages>
  <Words>10673</Words>
  <Characters>60839</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Asiedu Amoah</dc:creator>
  <cp:keywords/>
  <dc:description/>
  <cp:lastModifiedBy>Henry Asiedu Amoah</cp:lastModifiedBy>
  <cp:revision>98</cp:revision>
  <dcterms:created xsi:type="dcterms:W3CDTF">2026-04-17T11:30:00Z</dcterms:created>
  <dcterms:modified xsi:type="dcterms:W3CDTF">2026-05-03T20:29:00Z</dcterms:modified>
</cp:coreProperties>
</file>