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jc w:val="center"/>
        <w:rPr/>
      </w:pPr>
      <w:r w:rsidDel="00000000" w:rsidR="00000000" w:rsidRPr="00000000">
        <w:rPr>
          <w:b w:val="1"/>
          <w:bCs w:val="1"/>
          <w:color w:val="29366d"/>
          <w:sz w:val="56"/>
          <w:szCs w:val="56"/>
          <w:rtl w:val="0"/>
        </w:rPr>
        <w:t xml:space="preserve">SUSTRAIAPP</w:t>
        <w:br w:type="textWrapping"/>
      </w:r>
      <w:r w:rsidDel="00000000" w:rsidR="00000000" w:rsidRPr="00000000">
        <w:rPr>
          <w:color w:val="5e3d59"/>
          <w:sz w:val="28"/>
          <w:szCs w:val="28"/>
          <w:rtl w:val="0"/>
        </w:rPr>
        <w:t xml:space="preserve">Agenda cultural y gastronómica del País Vasco</w:t>
      </w:r>
      <w:r w:rsidDel="00000000" w:rsidR="00000000" w:rsidRPr="00000000">
        <w:rPr>
          <w:rtl w:val="0"/>
        </w:rPr>
      </w:r>
    </w:p>
    <w:p w:rsidR="00000000" w:rsidDel="00000000" w:rsidP="00000000" w:rsidRDefault="00000000" w:rsidRPr="00000000" w14:paraId="00000002">
      <w:pPr>
        <w:spacing w:after="0" w:before="600" w:lineRule="auto"/>
        <w:jc w:val="center"/>
        <w:rPr/>
      </w:pPr>
      <w:r w:rsidDel="00000000" w:rsidR="00000000" w:rsidRPr="00000000">
        <w:rPr>
          <w:b w:val="1"/>
          <w:bCs w:val="1"/>
          <w:color w:val="1b1b1f"/>
          <w:sz w:val="40"/>
          <w:szCs w:val="40"/>
          <w:rtl w:val="0"/>
        </w:rPr>
        <w:t xml:space="preserve">MEMORIA TÉCNICA</w:t>
      </w:r>
      <w:r w:rsidDel="00000000" w:rsidR="00000000" w:rsidRPr="00000000">
        <w:rPr>
          <w:rtl w:val="0"/>
        </w:rPr>
      </w:r>
    </w:p>
    <w:p w:rsidR="00000000" w:rsidDel="00000000" w:rsidP="00000000" w:rsidRDefault="00000000" w:rsidRPr="00000000" w14:paraId="00000003">
      <w:pPr>
        <w:spacing w:after="0" w:before="60" w:lineRule="auto"/>
        <w:jc w:val="center"/>
        <w:rPr/>
      </w:pPr>
      <w:r w:rsidDel="00000000" w:rsidR="00000000" w:rsidRPr="00000000">
        <w:rPr>
          <w:color w:val="5b5b66"/>
          <w:sz w:val="24"/>
          <w:szCs w:val="24"/>
          <w:rtl w:val="0"/>
        </w:rPr>
        <w:t xml:space="preserve">Desafío de Tripulaciones – Equipo 3</w:t>
      </w:r>
      <w:r w:rsidDel="00000000" w:rsidR="00000000" w:rsidRPr="00000000">
        <w:rPr>
          <w:rtl w:val="0"/>
        </w:rPr>
      </w:r>
    </w:p>
    <w:p w:rsidR="00000000" w:rsidDel="00000000" w:rsidP="00000000" w:rsidRDefault="00000000" w:rsidRPr="00000000" w14:paraId="00000004">
      <w:pPr>
        <w:spacing w:after="0" w:before="800" w:lineRule="auto"/>
        <w:jc w:val="center"/>
        <w:rPr/>
      </w:pPr>
      <w:r w:rsidDel="00000000" w:rsidR="00000000" w:rsidRPr="00000000">
        <w:rPr>
          <w:color w:val="1b1b1f"/>
          <w:sz w:val="24"/>
          <w:szCs w:val="24"/>
          <w:rtl w:val="0"/>
        </w:rPr>
        <w:t xml:space="preserve">Bootcamp BBK / Inetum</w:t>
      </w:r>
      <w:r w:rsidDel="00000000" w:rsidR="00000000" w:rsidRPr="00000000">
        <w:rPr>
          <w:rtl w:val="0"/>
        </w:rPr>
      </w:r>
    </w:p>
    <w:p w:rsidR="00000000" w:rsidDel="00000000" w:rsidP="00000000" w:rsidRDefault="00000000" w:rsidRPr="00000000" w14:paraId="00000005">
      <w:pPr>
        <w:spacing w:after="0" w:before="60" w:lineRule="auto"/>
        <w:jc w:val="center"/>
        <w:rPr/>
      </w:pPr>
      <w:r w:rsidDel="00000000" w:rsidR="00000000" w:rsidRPr="00000000">
        <w:rPr>
          <w:color w:val="1b1b1f"/>
          <w:sz w:val="24"/>
          <w:szCs w:val="24"/>
          <w:rtl w:val="0"/>
        </w:rPr>
        <w:t xml:space="preserve">Junio de 2026</w:t>
      </w:r>
      <w:r w:rsidDel="00000000" w:rsidR="00000000" w:rsidRPr="00000000">
        <w:rPr>
          <w:rtl w:val="0"/>
        </w:rPr>
      </w:r>
    </w:p>
    <w:p w:rsidR="00000000" w:rsidDel="00000000" w:rsidP="00000000" w:rsidRDefault="00000000" w:rsidRPr="00000000" w14:paraId="00000006">
      <w:pPr>
        <w:spacing w:line="264" w:lineRule="auto"/>
        <w:rPr/>
      </w:pPr>
      <w:r w:rsidDel="00000000" w:rsidR="00000000" w:rsidRPr="00000000">
        <w:rPr>
          <w:rtl w:val="0"/>
        </w:rPr>
      </w:r>
    </w:p>
    <w:p w:rsidR="00000000" w:rsidDel="00000000" w:rsidP="00000000" w:rsidRDefault="00000000" w:rsidRPr="00000000" w14:paraId="00000007">
      <w:pPr>
        <w:spacing w:line="264" w:lineRule="auto"/>
        <w:rPr/>
      </w:pPr>
      <w:r w:rsidDel="00000000" w:rsidR="00000000" w:rsidRPr="00000000">
        <w:rPr>
          <w:rtl w:val="0"/>
        </w:rPr>
      </w:r>
    </w:p>
    <w:p w:rsidR="00000000" w:rsidDel="00000000" w:rsidP="00000000" w:rsidRDefault="00000000" w:rsidRPr="00000000" w14:paraId="00000008">
      <w:pPr>
        <w:spacing w:line="264" w:lineRule="auto"/>
        <w:rPr/>
      </w:pPr>
      <w:r w:rsidDel="00000000" w:rsidR="00000000" w:rsidRPr="00000000">
        <w:rPr>
          <w:rtl w:val="0"/>
        </w:rPr>
      </w:r>
    </w:p>
    <w:p w:rsidR="00000000" w:rsidDel="00000000" w:rsidP="00000000" w:rsidRDefault="00000000" w:rsidRPr="00000000" w14:paraId="00000009">
      <w:pPr>
        <w:spacing w:line="264" w:lineRule="auto"/>
        <w:rPr/>
      </w:pPr>
      <w:r w:rsidDel="00000000" w:rsidR="00000000" w:rsidRPr="00000000">
        <w:rPr>
          <w:rtl w:val="0"/>
        </w:rPr>
      </w:r>
    </w:p>
    <w:p w:rsidR="00000000" w:rsidDel="00000000" w:rsidP="00000000" w:rsidRDefault="00000000" w:rsidRPr="00000000" w14:paraId="0000000A">
      <w:pPr>
        <w:spacing w:line="264" w:lineRule="auto"/>
        <w:jc w:val="center"/>
        <w:rPr/>
      </w:pPr>
      <w:r w:rsidDel="00000000" w:rsidR="00000000" w:rsidRPr="00000000">
        <w:rPr>
          <w:rtl w:val="0"/>
        </w:rPr>
        <w:t xml:space="preserve">Jefferson Aguilar · Asier González · Olatz González · Iker Melero</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Ficha del trabajo</w:t>
      </w:r>
    </w:p>
    <w:tbl>
      <w:tblPr>
        <w:tblStyle w:val="Table1"/>
        <w:tblW w:w="9030.0" w:type="dxa"/>
        <w:jc w:val="left"/>
        <w:tblBorders>
          <w:top w:color="d9d9e0" w:space="0" w:sz="4" w:val="single"/>
          <w:left w:color="d9d9e0" w:space="0" w:sz="4" w:val="single"/>
          <w:bottom w:color="d9d9e0" w:space="0" w:sz="4" w:val="single"/>
          <w:right w:color="d9d9e0" w:space="0" w:sz="4" w:val="single"/>
          <w:insideH w:color="d9d9e0" w:space="0" w:sz="4" w:val="single"/>
          <w:insideV w:color="d9d9e0" w:space="0" w:sz="4" w:val="single"/>
        </w:tblBorders>
        <w:tblLayout w:type="fixed"/>
        <w:tblLook w:val="0000"/>
      </w:tblPr>
      <w:tblGrid>
        <w:gridCol w:w="2775"/>
        <w:gridCol w:w="6255"/>
        <w:tblGridChange w:id="0">
          <w:tblGrid>
            <w:gridCol w:w="2775"/>
            <w:gridCol w:w="6255"/>
          </w:tblGrid>
        </w:tblGridChange>
      </w:tblGrid>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0D">
            <w:pPr>
              <w:spacing w:after="0" w:line="264" w:lineRule="auto"/>
              <w:jc w:val="left"/>
              <w:rPr/>
            </w:pPr>
            <w:r w:rsidDel="00000000" w:rsidR="00000000" w:rsidRPr="00000000">
              <w:rPr>
                <w:b w:val="1"/>
                <w:bCs w:val="1"/>
                <w:color w:val="1b1b1f"/>
                <w:rtl w:val="0"/>
              </w:rPr>
              <w:t xml:space="preserve">Título del proyecto</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0E">
            <w:pPr>
              <w:spacing w:after="0" w:line="264" w:lineRule="auto"/>
              <w:rPr/>
            </w:pPr>
            <w:r w:rsidDel="00000000" w:rsidR="00000000" w:rsidRPr="00000000">
              <w:rPr>
                <w:i w:val="0"/>
                <w:iCs w:val="0"/>
                <w:color w:val="1b1b1f"/>
                <w:rtl w:val="0"/>
              </w:rPr>
              <w:t xml:space="preserve">SustraiApp: agenda cultural y gastronómica del País Vasco</w:t>
            </w:r>
            <w:r w:rsidDel="00000000" w:rsidR="00000000" w:rsidRPr="00000000">
              <w:rPr>
                <w:rtl w:val="0"/>
              </w:rPr>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0F">
            <w:pPr>
              <w:spacing w:after="0" w:line="264" w:lineRule="auto"/>
              <w:jc w:val="left"/>
              <w:rPr/>
            </w:pPr>
            <w:r w:rsidDel="00000000" w:rsidR="00000000" w:rsidRPr="00000000">
              <w:rPr>
                <w:b w:val="1"/>
                <w:bCs w:val="1"/>
                <w:color w:val="1b1b1f"/>
                <w:rtl w:val="0"/>
              </w:rPr>
              <w:t xml:space="preserve">Tipo de entregable</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10">
            <w:pPr>
              <w:spacing w:after="0" w:line="264" w:lineRule="auto"/>
              <w:rPr/>
            </w:pPr>
            <w:r w:rsidDel="00000000" w:rsidR="00000000" w:rsidRPr="00000000">
              <w:rPr>
                <w:i w:val="0"/>
                <w:iCs w:val="0"/>
                <w:color w:val="1b1b1f"/>
                <w:rtl w:val="0"/>
              </w:rPr>
              <w:t xml:space="preserve">Memoria técnica del bloque Full Stack</w:t>
            </w:r>
            <w:r w:rsidDel="00000000" w:rsidR="00000000" w:rsidRPr="00000000">
              <w:rPr>
                <w:rtl w:val="0"/>
              </w:rPr>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11">
            <w:pPr>
              <w:spacing w:after="0" w:line="264" w:lineRule="auto"/>
              <w:jc w:val="left"/>
              <w:rPr/>
            </w:pPr>
            <w:r w:rsidDel="00000000" w:rsidR="00000000" w:rsidRPr="00000000">
              <w:rPr>
                <w:b w:val="1"/>
                <w:bCs w:val="1"/>
                <w:color w:val="1b1b1f"/>
                <w:rtl w:val="0"/>
              </w:rPr>
              <w:t xml:space="preserve">Programa</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12">
            <w:pPr>
              <w:spacing w:after="0" w:line="264" w:lineRule="auto"/>
              <w:rPr/>
            </w:pPr>
            <w:r w:rsidDel="00000000" w:rsidR="00000000" w:rsidRPr="00000000">
              <w:rPr>
                <w:i w:val="0"/>
                <w:iCs w:val="0"/>
                <w:color w:val="1b1b1f"/>
                <w:rtl w:val="0"/>
              </w:rPr>
              <w:t xml:space="preserve">Bootcamp BBK / Inetum – Desafío de Tripulaciones (proyecto final)</w:t>
            </w:r>
            <w:r w:rsidDel="00000000" w:rsidR="00000000" w:rsidRPr="00000000">
              <w:rPr>
                <w:rtl w:val="0"/>
              </w:rPr>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13">
            <w:pPr>
              <w:spacing w:after="0" w:line="264" w:lineRule="auto"/>
              <w:jc w:val="left"/>
              <w:rPr/>
            </w:pPr>
            <w:r w:rsidDel="00000000" w:rsidR="00000000" w:rsidRPr="00000000">
              <w:rPr>
                <w:b w:val="1"/>
                <w:bCs w:val="1"/>
                <w:color w:val="1b1b1f"/>
                <w:rtl w:val="0"/>
              </w:rPr>
              <w:t xml:space="preserve">Equipo</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14">
            <w:pPr>
              <w:spacing w:after="0" w:line="264" w:lineRule="auto"/>
              <w:rPr/>
            </w:pPr>
            <w:r w:rsidDel="00000000" w:rsidR="00000000" w:rsidRPr="00000000">
              <w:rPr>
                <w:i w:val="0"/>
                <w:iCs w:val="0"/>
                <w:color w:val="1b1b1f"/>
                <w:rtl w:val="0"/>
              </w:rPr>
              <w:t xml:space="preserve">Equipo 3 – Full Stack</w:t>
            </w:r>
            <w:r w:rsidDel="00000000" w:rsidR="00000000" w:rsidRPr="00000000">
              <w:rPr>
                <w:rtl w:val="0"/>
              </w:rPr>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15">
            <w:pPr>
              <w:spacing w:after="0" w:line="264" w:lineRule="auto"/>
              <w:jc w:val="left"/>
              <w:rPr/>
            </w:pPr>
            <w:r w:rsidDel="00000000" w:rsidR="00000000" w:rsidRPr="00000000">
              <w:rPr>
                <w:b w:val="1"/>
                <w:bCs w:val="1"/>
                <w:color w:val="1b1b1f"/>
                <w:rtl w:val="0"/>
              </w:rPr>
              <w:t xml:space="preserve">Subequipos</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16">
            <w:pPr>
              <w:spacing w:after="0" w:line="264" w:lineRule="auto"/>
              <w:rPr/>
            </w:pPr>
            <w:r w:rsidDel="00000000" w:rsidR="00000000" w:rsidRPr="00000000">
              <w:rPr>
                <w:i w:val="0"/>
                <w:iCs w:val="0"/>
                <w:color w:val="1b1b1f"/>
                <w:rtl w:val="0"/>
              </w:rPr>
              <w:t xml:space="preserve">Backend (Asier, Iker) y Frontend (Olatz, Jefferson)</w:t>
            </w:r>
            <w:r w:rsidDel="00000000" w:rsidR="00000000" w:rsidRPr="00000000">
              <w:rPr>
                <w:rtl w:val="0"/>
              </w:rPr>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17">
            <w:pPr>
              <w:spacing w:after="0" w:line="264" w:lineRule="auto"/>
              <w:jc w:val="left"/>
              <w:rPr/>
            </w:pPr>
            <w:r w:rsidDel="00000000" w:rsidR="00000000" w:rsidRPr="00000000">
              <w:rPr>
                <w:b w:val="1"/>
                <w:bCs w:val="1"/>
                <w:color w:val="1b1b1f"/>
                <w:rtl w:val="0"/>
              </w:rPr>
              <w:t xml:space="preserve">Autores</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18">
            <w:pPr>
              <w:spacing w:after="0" w:line="264" w:lineRule="auto"/>
              <w:rPr/>
            </w:pPr>
            <w:r w:rsidDel="00000000" w:rsidR="00000000" w:rsidRPr="00000000">
              <w:rPr>
                <w:rtl w:val="0"/>
              </w:rPr>
              <w:t xml:space="preserve">Jefferson Aguilar, Asier González, </w:t>
              <w:br w:type="textWrapping"/>
              <w:t xml:space="preserve">Olatz González, Iker Melero</w:t>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19">
            <w:pPr>
              <w:spacing w:after="0" w:line="264" w:lineRule="auto"/>
              <w:jc w:val="left"/>
              <w:rPr/>
            </w:pPr>
            <w:r w:rsidDel="00000000" w:rsidR="00000000" w:rsidRPr="00000000">
              <w:rPr>
                <w:b w:val="1"/>
                <w:bCs w:val="1"/>
                <w:color w:val="1b1b1f"/>
                <w:rtl w:val="0"/>
              </w:rPr>
              <w:t xml:space="preserve">Fecha de entrega</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1A">
            <w:pPr>
              <w:spacing w:after="0" w:line="264" w:lineRule="auto"/>
              <w:rPr/>
            </w:pPr>
            <w:r w:rsidDel="00000000" w:rsidR="00000000" w:rsidRPr="00000000">
              <w:rPr>
                <w:rtl w:val="0"/>
              </w:rPr>
              <w:t xml:space="preserve">11 de junio de 2026</w:t>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1B">
            <w:pPr>
              <w:spacing w:after="0" w:line="264" w:lineRule="auto"/>
              <w:jc w:val="left"/>
              <w:rPr/>
            </w:pPr>
            <w:r w:rsidDel="00000000" w:rsidR="00000000" w:rsidRPr="00000000">
              <w:rPr>
                <w:b w:val="1"/>
                <w:bCs w:val="1"/>
                <w:color w:val="1b1b1f"/>
                <w:rtl w:val="0"/>
              </w:rPr>
              <w:t xml:space="preserve">Área</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1C">
            <w:pPr>
              <w:spacing w:after="0" w:line="264" w:lineRule="auto"/>
              <w:rPr/>
            </w:pPr>
            <w:r w:rsidDel="00000000" w:rsidR="00000000" w:rsidRPr="00000000">
              <w:rPr>
                <w:i w:val="0"/>
                <w:iCs w:val="0"/>
                <w:color w:val="1b1b1f"/>
                <w:rtl w:val="0"/>
              </w:rPr>
              <w:t xml:space="preserve">Desarrollo de aplicaciones web full stack</w:t>
            </w:r>
            <w:r w:rsidDel="00000000" w:rsidR="00000000" w:rsidRPr="00000000">
              <w:rPr>
                <w:rtl w:val="0"/>
              </w:rPr>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1D">
            <w:pPr>
              <w:spacing w:after="0" w:line="264" w:lineRule="auto"/>
              <w:jc w:val="left"/>
              <w:rPr/>
            </w:pPr>
            <w:r w:rsidDel="00000000" w:rsidR="00000000" w:rsidRPr="00000000">
              <w:rPr>
                <w:b w:val="1"/>
                <w:bCs w:val="1"/>
                <w:color w:val="1b1b1f"/>
                <w:rtl w:val="0"/>
              </w:rPr>
              <w:t xml:space="preserve">Idioma de la memoria</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1E">
            <w:pPr>
              <w:spacing w:after="0" w:line="264" w:lineRule="auto"/>
              <w:rPr/>
            </w:pPr>
            <w:r w:rsidDel="00000000" w:rsidR="00000000" w:rsidRPr="00000000">
              <w:rPr>
                <w:i w:val="0"/>
                <w:iCs w:val="0"/>
                <w:color w:val="1b1b1f"/>
                <w:rtl w:val="0"/>
              </w:rPr>
              <w:t xml:space="preserve">Castellano</w:t>
            </w:r>
            <w:r w:rsidDel="00000000" w:rsidR="00000000" w:rsidRPr="00000000">
              <w:rPr>
                <w:rtl w:val="0"/>
              </w:rPr>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1F">
            <w:pPr>
              <w:spacing w:after="0" w:line="264" w:lineRule="auto"/>
              <w:jc w:val="left"/>
              <w:rPr/>
            </w:pPr>
            <w:r w:rsidDel="00000000" w:rsidR="00000000" w:rsidRPr="00000000">
              <w:rPr>
                <w:b w:val="1"/>
                <w:bCs w:val="1"/>
                <w:color w:val="1b1b1f"/>
                <w:rtl w:val="0"/>
              </w:rPr>
              <w:t xml:space="preserve">Idiomas de la aplicación</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20">
            <w:pPr>
              <w:spacing w:after="0" w:line="264" w:lineRule="auto"/>
              <w:rPr/>
            </w:pPr>
            <w:r w:rsidDel="00000000" w:rsidR="00000000" w:rsidRPr="00000000">
              <w:rPr>
                <w:i w:val="0"/>
                <w:iCs w:val="0"/>
                <w:color w:val="1b1b1f"/>
                <w:rtl w:val="0"/>
              </w:rPr>
              <w:t xml:space="preserve">Euskera, castellano e inglés</w:t>
            </w:r>
            <w:r w:rsidDel="00000000" w:rsidR="00000000" w:rsidRPr="00000000">
              <w:rPr>
                <w:rtl w:val="0"/>
              </w:rPr>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21">
            <w:pPr>
              <w:spacing w:after="0" w:line="264" w:lineRule="auto"/>
              <w:jc w:val="left"/>
              <w:rPr/>
            </w:pPr>
            <w:r w:rsidDel="00000000" w:rsidR="00000000" w:rsidRPr="00000000">
              <w:rPr>
                <w:b w:val="1"/>
                <w:bCs w:val="1"/>
                <w:color w:val="1b1b1f"/>
                <w:rtl w:val="0"/>
              </w:rPr>
              <w:t xml:space="preserve">Repositorio</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22">
            <w:pPr>
              <w:spacing w:after="0" w:line="264" w:lineRule="auto"/>
              <w:rPr/>
            </w:pPr>
            <w:hyperlink r:id="rId6">
              <w:r w:rsidDel="00000000" w:rsidR="00000000" w:rsidRPr="00000000">
                <w:rPr>
                  <w:color w:val="1155cc"/>
                  <w:u w:val="single"/>
                  <w:rtl w:val="0"/>
                </w:rPr>
                <w:t xml:space="preserve">https://github.com/asier-Medina/SustraiApp</w:t>
              </w:r>
            </w:hyperlink>
            <w:r w:rsidDel="00000000" w:rsidR="00000000" w:rsidRPr="00000000">
              <w:rPr>
                <w:rtl w:val="0"/>
              </w:rPr>
            </w:r>
          </w:p>
        </w:tc>
      </w:tr>
      <w:tr>
        <w:trPr>
          <w:cantSplit w:val="0"/>
          <w:tblHeader w:val="0"/>
        </w:trPr>
        <w:tc>
          <w:tcPr>
            <w:shd w:fill="eef0e2" w:val="clear"/>
            <w:tcMar>
              <w:top w:w="70.0" w:type="dxa"/>
              <w:left w:w="110.0" w:type="dxa"/>
              <w:bottom w:w="70.0" w:type="dxa"/>
              <w:right w:w="110.0" w:type="dxa"/>
            </w:tcMar>
          </w:tcPr>
          <w:p w:rsidR="00000000" w:rsidDel="00000000" w:rsidP="00000000" w:rsidRDefault="00000000" w:rsidRPr="00000000" w14:paraId="00000023">
            <w:pPr>
              <w:spacing w:after="0" w:line="264" w:lineRule="auto"/>
              <w:jc w:val="left"/>
              <w:rPr/>
            </w:pPr>
            <w:r w:rsidDel="00000000" w:rsidR="00000000" w:rsidRPr="00000000">
              <w:rPr>
                <w:b w:val="1"/>
                <w:bCs w:val="1"/>
                <w:color w:val="1b1b1f"/>
                <w:rtl w:val="0"/>
              </w:rPr>
              <w:t xml:space="preserve">Palabras clave</w:t>
            </w:r>
            <w:r w:rsidDel="00000000" w:rsidR="00000000" w:rsidRPr="00000000">
              <w:rPr>
                <w:rtl w:val="0"/>
              </w:rPr>
            </w:r>
          </w:p>
        </w:tc>
        <w:tc>
          <w:tcPr>
            <w:tcBorders>
              <w:top w:color="d9d9e0" w:space="0" w:sz="4" w:val="single"/>
              <w:left w:color="d9d9e0" w:space="0" w:sz="4" w:val="single"/>
              <w:bottom w:color="d9d9e0" w:space="0" w:sz="4" w:val="single"/>
              <w:right w:color="d9d9e0" w:space="0" w:sz="4" w:val="single"/>
            </w:tcBorders>
            <w:tcMar>
              <w:top w:w="70.0" w:type="dxa"/>
              <w:left w:w="110.0" w:type="dxa"/>
              <w:bottom w:w="70.0" w:type="dxa"/>
              <w:right w:w="110.0" w:type="dxa"/>
            </w:tcMar>
          </w:tcPr>
          <w:p w:rsidR="00000000" w:rsidDel="00000000" w:rsidP="00000000" w:rsidRDefault="00000000" w:rsidRPr="00000000" w14:paraId="00000024">
            <w:pPr>
              <w:spacing w:after="0" w:line="264" w:lineRule="auto"/>
              <w:rPr/>
            </w:pPr>
            <w:r w:rsidDel="00000000" w:rsidR="00000000" w:rsidRPr="00000000">
              <w:rPr>
                <w:i w:val="0"/>
                <w:iCs w:val="0"/>
                <w:color w:val="1b1b1f"/>
                <w:rtl w:val="0"/>
              </w:rPr>
              <w:t xml:space="preserve">Agenda cultural, País Vasco, accesibilidad, aplicación web, React, recomendación</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Resumen</w:t>
      </w:r>
    </w:p>
    <w:p w:rsidR="00000000" w:rsidDel="00000000" w:rsidP="00000000" w:rsidRDefault="00000000" w:rsidRPr="00000000" w14:paraId="00000027">
      <w:pPr>
        <w:spacing w:after="160" w:line="276" w:lineRule="auto"/>
        <w:jc w:val="both"/>
        <w:rPr/>
      </w:pPr>
      <w:r w:rsidDel="00000000" w:rsidR="00000000" w:rsidRPr="00000000">
        <w:rPr>
          <w:rtl w:val="0"/>
        </w:rPr>
        <w:t xml:space="preserve">El País Vasco concentra una oferta cultural y gastronómica abundante, pero dispersa entre múltiples fuentes públicas y privadas (agendas institucionales, webs de eventos, buscadores generalistas). Esa fragmentación dificulta que el público descubra experiencias de calidad y planifique su ocio con confianza, un problema que se acentúa en el segmento de 45 a 65 años por las barreras de accesibilidad habituales (texto pequeño, contraste insuficiente, navegación poco clara) y por la pluralidad lingüística del territorio.</w:t>
      </w:r>
    </w:p>
    <w:p w:rsidR="00000000" w:rsidDel="00000000" w:rsidP="00000000" w:rsidRDefault="00000000" w:rsidRPr="00000000" w14:paraId="00000028">
      <w:pPr>
        <w:spacing w:after="160" w:line="276" w:lineRule="auto"/>
        <w:jc w:val="both"/>
        <w:rPr/>
      </w:pPr>
      <w:r w:rsidDel="00000000" w:rsidR="00000000" w:rsidRPr="00000000">
        <w:rPr>
          <w:rtl w:val="0"/>
        </w:rPr>
        <w:t xml:space="preserve">Este trabajo presenta SustraiApp, una aplicación web que agrega y cura experiencias de ocio, gastronomía y cultura del País Vasco para un público de 45 a 65 años con poder adquisitivo medio-alto. La aplicación unifica datos de fuentes como GEO-Euskadi, Kulturklik y Google Places — servidos a través de la API del equipo de Data Science, que además expone un modelo de recomendación y un chatbot — y los presenta en una interfaz responsive, accesible (WCAG 2.1 AA) y trilingüe (euskera, castellano e inglés). El sistema diferencia dos roles, usuario y administrador, e incorpora la gestión de negocios y promociones desde un panel de administración.</w:t>
      </w:r>
    </w:p>
    <w:p w:rsidR="00000000" w:rsidDel="00000000" w:rsidP="00000000" w:rsidRDefault="00000000" w:rsidRPr="00000000" w14:paraId="00000029">
      <w:pPr>
        <w:spacing w:after="160" w:line="276" w:lineRule="auto"/>
        <w:jc w:val="both"/>
        <w:rPr/>
      </w:pPr>
      <w:r w:rsidDel="00000000" w:rsidR="00000000" w:rsidRPr="00000000">
        <w:rPr>
          <w:rtl w:val="0"/>
        </w:rPr>
        <w:t xml:space="preserve">El desarrollo se ha realizado en el marco del Desafío de Tripulaciones del bootcamp BBK/Inetum, coordinando cuatro equipos especialistas (Full Stack, Data Science, Marketing y Ciberseguridad). Esta memoria documenta específicamente el trabajo del equipo Full Stack: una arquitectura con frontend en React + Vite y backend en Node.js + Express sobre PostgreSQL, con autenticación basada en JWT, despliegue con Docker y un enfoque de seguridad y accesibilidad “por diseño” aplicado de forma transversal a partir de las prácticas de codificación segura de OWASP.</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Índice</w:t>
      </w:r>
    </w:p>
    <w:sdt>
      <w:sdtPr>
        <w:id w:val="-1009663780"/>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 del trabajo</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y justificación del proyecto</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Problemática y estado del arte</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Aportación de valor</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 del proyecto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Objetivo general</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Objetivos específicos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Requerimientos funcionales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Requerimientos no funcionales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Impacto social y de accesibilidad</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Enfoque y método de trabajo</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Stack tecnológico y justificación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Sumario de productos obtenidos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Breve descripción de los demás capítulos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Declaración sobre el uso de inteligencia artificial generativa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120" w:lineRule="auto"/>
        <w:rPr/>
      </w:pPr>
      <w:r w:rsidDel="00000000" w:rsidR="00000000" w:rsidRPr="00000000">
        <w:rPr>
          <w:rtl w:val="0"/>
        </w:rPr>
      </w:r>
    </w:p>
    <w:sdt>
      <w:sdtPr>
        <w:id w:val="-276503038"/>
        <w:docPartObj>
          <w:docPartGallery w:val="Table of Contents"/>
          <w:docPartUnique w:val="1"/>
        </w:docPartObj>
      </w:sdtPr>
      <w:sdtContent>
        <w:p w:rsidR="00000000" w:rsidDel="00000000" w:rsidP="00000000" w:rsidRDefault="00000000" w:rsidRPr="00000000" w14:paraId="0000003F">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1  Introducción</w:t>
      </w:r>
    </w:p>
    <w:p w:rsidR="00000000" w:rsidDel="00000000" w:rsidP="00000000" w:rsidRDefault="00000000" w:rsidRPr="00000000" w14:paraId="00000043">
      <w:pPr>
        <w:pStyle w:val="Heading2"/>
        <w:rPr/>
      </w:pPr>
      <w:r w:rsidDel="00000000" w:rsidR="00000000" w:rsidRPr="00000000">
        <w:rPr>
          <w:rtl w:val="0"/>
        </w:rPr>
        <w:t xml:space="preserve">1.1  Contexto y justificación del proyecto</w:t>
      </w:r>
    </w:p>
    <w:p w:rsidR="00000000" w:rsidDel="00000000" w:rsidP="00000000" w:rsidRDefault="00000000" w:rsidRPr="00000000" w14:paraId="00000044">
      <w:pPr>
        <w:pStyle w:val="Heading3"/>
        <w:rPr/>
      </w:pPr>
      <w:r w:rsidDel="00000000" w:rsidR="00000000" w:rsidRPr="00000000">
        <w:rPr>
          <w:rtl w:val="0"/>
        </w:rPr>
        <w:t xml:space="preserve">1.1.1  Problemática y estado del arte</w:t>
      </w:r>
    </w:p>
    <w:p w:rsidR="00000000" w:rsidDel="00000000" w:rsidP="00000000" w:rsidRDefault="00000000" w:rsidRPr="00000000" w14:paraId="00000045">
      <w:pPr>
        <w:spacing w:after="160" w:line="276" w:lineRule="auto"/>
        <w:jc w:val="both"/>
        <w:rPr/>
      </w:pPr>
      <w:r w:rsidDel="00000000" w:rsidR="00000000" w:rsidRPr="00000000">
        <w:rPr>
          <w:rtl w:val="0"/>
        </w:rPr>
        <w:t xml:space="preserve">El País Vasco ofrece una intensa actividad cultural (exposiciones, conciertos, artes escénicas, patrimonio) y una reconocida oferta gastronómica. Sin embargo, esa información se encuentra distribuida en numerosos canales que no comparten un formato común ni un mismo nivel de calidad. El usuario que quiere planificar su ocio debe consultar varias agendas culturales, redes sociales, webs de establecimientos y buscadores generalistas, contrastando datos que con frecuencia están incompletos, desactualizados o disponibles en un solo idioma.</w:t>
      </w:r>
    </w:p>
    <w:p w:rsidR="00000000" w:rsidDel="00000000" w:rsidP="00000000" w:rsidRDefault="00000000" w:rsidRPr="00000000" w14:paraId="00000046">
      <w:pPr>
        <w:spacing w:after="160" w:line="276" w:lineRule="auto"/>
        <w:jc w:val="both"/>
        <w:rPr/>
      </w:pPr>
      <w:r w:rsidDel="00000000" w:rsidR="00000000" w:rsidRPr="00000000">
        <w:rPr>
          <w:rtl w:val="0"/>
        </w:rPr>
        <w:t xml:space="preserve">Para el público objetivo de este proyecto —personas de </w:t>
      </w:r>
      <w:r w:rsidDel="00000000" w:rsidR="00000000" w:rsidRPr="00000000">
        <w:rPr>
          <w:b w:val="1"/>
          <w:bCs w:val="1"/>
          <w:rtl w:val="0"/>
        </w:rPr>
        <w:t xml:space="preserve">45 a 65 años</w:t>
      </w:r>
      <w:r w:rsidDel="00000000" w:rsidR="00000000" w:rsidRPr="00000000">
        <w:rPr>
          <w:rtl w:val="0"/>
        </w:rPr>
        <w:t xml:space="preserve"> con poder adquisitivo medio-alto— esta fragmentación se combina con dos barreras adicionales: la </w:t>
      </w:r>
      <w:r w:rsidDel="00000000" w:rsidR="00000000" w:rsidRPr="00000000">
        <w:rPr>
          <w:b w:val="1"/>
          <w:bCs w:val="1"/>
          <w:rtl w:val="0"/>
        </w:rPr>
        <w:t xml:space="preserve">accesibilidad</w:t>
      </w:r>
      <w:r w:rsidDel="00000000" w:rsidR="00000000" w:rsidRPr="00000000">
        <w:rPr>
          <w:rtl w:val="0"/>
        </w:rPr>
        <w:t xml:space="preserve"> (es habitual la presbicia en esta franja de edad, por lo que el tamaño de texto, el contraste y la claridad de la navegación son determinantes) y la </w:t>
      </w:r>
      <w:r w:rsidDel="00000000" w:rsidR="00000000" w:rsidRPr="00000000">
        <w:rPr>
          <w:b w:val="1"/>
          <w:bCs w:val="1"/>
          <w:rtl w:val="0"/>
        </w:rPr>
        <w:t xml:space="preserve">pluralidad lingüística</w:t>
      </w:r>
      <w:r w:rsidDel="00000000" w:rsidR="00000000" w:rsidRPr="00000000">
        <w:rPr>
          <w:rtl w:val="0"/>
        </w:rPr>
        <w:t xml:space="preserve">, ya que conviven el euskera, el castellano y el inglés del visitante.</w:t>
      </w:r>
    </w:p>
    <w:p w:rsidR="00000000" w:rsidDel="00000000" w:rsidP="00000000" w:rsidRDefault="00000000" w:rsidRPr="00000000" w14:paraId="00000047">
      <w:pPr>
        <w:spacing w:after="160" w:line="276" w:lineRule="auto"/>
        <w:jc w:val="both"/>
        <w:rPr/>
      </w:pPr>
      <w:r w:rsidDel="00000000" w:rsidR="00000000" w:rsidRPr="00000000">
        <w:rPr>
          <w:rtl w:val="0"/>
        </w:rPr>
        <w:t xml:space="preserve">El análisis de las soluciones existentes evidencia un hueco claro: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Agendas institucionales (p. ej. Kulturklik, portales municipales):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ofrecen información oficial y fiable, pero fragmentada por administración, con una experiencia de usuario poco moderna y sin recomendación personalizada ni integración de la oferta gastronómica privada.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Buscadores y mapas generalistas (Google, redes sociales):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tienen gran cobertura, pero no curan la oferta para un público concreto, mezclan calidades muy dispares y no garantizan accesibilidad ni soporte trilingüe coherente.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Agregadores de eventos generalistas: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priorizan el volumen sobre la curación y rara vez integran cultura, gastronomía y patrimonio en una sola experiencia pensada para este segmento de edad.</w:t>
      </w:r>
    </w:p>
    <w:p w:rsidR="00000000" w:rsidDel="00000000" w:rsidP="00000000" w:rsidRDefault="00000000" w:rsidRPr="00000000" w14:paraId="0000004B">
      <w:pPr>
        <w:spacing w:after="160" w:line="276" w:lineRule="auto"/>
        <w:jc w:val="both"/>
        <w:rPr/>
      </w:pPr>
      <w:r w:rsidDel="00000000" w:rsidR="00000000" w:rsidRPr="00000000">
        <w:rPr>
          <w:rtl w:val="0"/>
        </w:rPr>
        <w:t xml:space="preserve">Este análisis revela la necesidad de una herramienta intermedia: un agregador curado que combine la fiabilidad de las fuentes oficiales con una experiencia moderna, accesible y trilingüe, capaz además de recomendar de forma personalizada.</w:t>
      </w:r>
    </w:p>
    <w:p w:rsidR="00000000" w:rsidDel="00000000" w:rsidP="00000000" w:rsidRDefault="00000000" w:rsidRPr="00000000" w14:paraId="0000004C">
      <w:pPr>
        <w:pStyle w:val="Heading3"/>
        <w:rPr/>
      </w:pPr>
      <w:r w:rsidDel="00000000" w:rsidR="00000000" w:rsidRPr="00000000">
        <w:rPr>
          <w:rtl w:val="0"/>
        </w:rPr>
        <w:t xml:space="preserve">1.1.2  Aportación de valor</w:t>
      </w:r>
    </w:p>
    <w:p w:rsidR="00000000" w:rsidDel="00000000" w:rsidP="00000000" w:rsidRDefault="00000000" w:rsidRPr="00000000" w14:paraId="0000004D">
      <w:pPr>
        <w:spacing w:after="160" w:line="276" w:lineRule="auto"/>
        <w:jc w:val="both"/>
        <w:rPr/>
      </w:pPr>
      <w:r w:rsidDel="00000000" w:rsidR="00000000" w:rsidRPr="00000000">
        <w:rPr>
          <w:rtl w:val="0"/>
        </w:rPr>
        <w:t xml:space="preserve">SustraiApp se concibe como una aplicación web que centraliza y cura la oferta de ocio, gastronomía y cultura del País Vasco. Su propuesta de valor diferencial se apoya en cuatro pilares: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Agregación y curación: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unifica datos de GEO-Euskadi, Kulturklik y Google Places en un catálogo coherente, filtrable por categorías, proximidad y momento (esta semana, fin de semana, cerca de ti, en euskera).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Personalización inteligente: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integra el modelo de recomendación y el chatbot expuestos por la API del equipo de Data Science, ayudando al usuario a decidir entre una oferta amplia.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Accesibilidad y trilingüismo por diseño: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interfaz responsive conforme a WCAG 2.1 AA, con tamaños y contrastes pensados para la presbicia, y soporte completo de euskera, castellano e inglés.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Modelo de negocio integrado: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panel de administración para gestionar negocios y promociones, con la regla de negocio de que desactivar un negocio desactiva automáticamente su promoción asociada.</w:t>
      </w:r>
    </w:p>
    <w:p w:rsidR="00000000" w:rsidDel="00000000" w:rsidP="00000000" w:rsidRDefault="00000000" w:rsidRPr="00000000" w14:paraId="00000052">
      <w:pPr>
        <w:pStyle w:val="Heading2"/>
        <w:rPr/>
      </w:pPr>
      <w:r w:rsidDel="00000000" w:rsidR="00000000" w:rsidRPr="00000000">
        <w:rPr>
          <w:rtl w:val="0"/>
        </w:rPr>
        <w:t xml:space="preserve">1.2  Objetivos del proyecto</w:t>
      </w:r>
    </w:p>
    <w:p w:rsidR="00000000" w:rsidDel="00000000" w:rsidP="00000000" w:rsidRDefault="00000000" w:rsidRPr="00000000" w14:paraId="00000053">
      <w:pPr>
        <w:pStyle w:val="Heading3"/>
        <w:rPr/>
      </w:pPr>
      <w:r w:rsidDel="00000000" w:rsidR="00000000" w:rsidRPr="00000000">
        <w:rPr>
          <w:rtl w:val="0"/>
        </w:rPr>
        <w:t xml:space="preserve">1.2.1  Objetivo general</w:t>
      </w:r>
    </w:p>
    <w:p w:rsidR="00000000" w:rsidDel="00000000" w:rsidP="00000000" w:rsidRDefault="00000000" w:rsidRPr="00000000" w14:paraId="00000054">
      <w:pPr>
        <w:spacing w:after="160" w:line="276" w:lineRule="auto"/>
        <w:jc w:val="both"/>
        <w:rPr/>
      </w:pPr>
      <w:r w:rsidDel="00000000" w:rsidR="00000000" w:rsidRPr="00000000">
        <w:rPr>
          <w:rtl w:val="0"/>
        </w:rPr>
        <w:t xml:space="preserve">Desarrollar una aplicación web full stack que agregue y cure la oferta cultural y gastronómica del País Vasco para un público de 45 a 65 años, ofreciendo una experiencia accesible, trilingüe y personalizada, con dos roles de uso (usuario y administrador) y un panel de gestión de contenidos, negocios y promociones.</w:t>
      </w:r>
    </w:p>
    <w:p w:rsidR="00000000" w:rsidDel="00000000" w:rsidP="00000000" w:rsidRDefault="00000000" w:rsidRPr="00000000" w14:paraId="00000055">
      <w:pPr>
        <w:pStyle w:val="Heading3"/>
        <w:rPr/>
      </w:pPr>
      <w:r w:rsidDel="00000000" w:rsidR="00000000" w:rsidRPr="00000000">
        <w:rPr>
          <w:rtl w:val="0"/>
        </w:rPr>
        <w:t xml:space="preserve">1.2.2  Objetivos específicos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Interfaz accesible: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construir un frontend SPA responsive y conforme a WCAG 2.1 AA, con un sistema de tokens de diseño (color, tipografía, espaciado) que garantice legibilidad para usuarios con presbicia.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Internacionalización: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implementar el soporte trilingüe (euskera, castellano e inglés) de forma coherente en toda la aplicación.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Agregación de datos: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consumir la API del equipo de Data Science para mostrar eventos, lugares y recomendaciones procedentes de GEO-Euskadi, Kulturklik y Google Places.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Gestión y roles: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implementar autenticación y autorización con dos roles, y un panel de administración para la gestión de negocios y promociones.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Seguridad por diseño: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aplicar de forma transversal las prácticas de codificación segura de OWASP y validar la autorización en servidor.</w:t>
      </w:r>
    </w:p>
    <w:p w:rsidR="00000000" w:rsidDel="00000000" w:rsidP="00000000" w:rsidRDefault="00000000" w:rsidRPr="00000000" w14:paraId="0000005B">
      <w:pPr>
        <w:pStyle w:val="Heading3"/>
        <w:rPr/>
      </w:pPr>
      <w:r w:rsidDel="00000000" w:rsidR="00000000" w:rsidRPr="00000000">
        <w:rPr>
          <w:rtl w:val="0"/>
        </w:rPr>
        <w:t xml:space="preserve">1.2.3  Requerimientos funcionales</w:t>
      </w:r>
    </w:p>
    <w:tbl>
      <w:tblPr>
        <w:tblStyle w:val="Table2"/>
        <w:tblW w:w="9026.0" w:type="dxa"/>
        <w:jc w:val="left"/>
        <w:tblBorders>
          <w:top w:color="d9d9e0" w:space="0" w:sz="4" w:val="single"/>
          <w:left w:color="d9d9e0" w:space="0" w:sz="4" w:val="single"/>
          <w:bottom w:color="d9d9e0" w:space="0" w:sz="4" w:val="single"/>
          <w:right w:color="d9d9e0" w:space="0" w:sz="4" w:val="single"/>
          <w:insideH w:color="d9d9e0" w:space="0" w:sz="4" w:val="single"/>
          <w:insideV w:color="d9d9e0" w:space="0" w:sz="4" w:val="single"/>
        </w:tblBorders>
        <w:tblLayout w:type="fixed"/>
        <w:tblLook w:val="0000"/>
      </w:tblPr>
      <w:tblGrid>
        <w:gridCol w:w="1500"/>
        <w:gridCol w:w="7526"/>
        <w:tblGridChange w:id="0">
          <w:tblGrid>
            <w:gridCol w:w="1500"/>
            <w:gridCol w:w="7526"/>
          </w:tblGrid>
        </w:tblGridChange>
      </w:tblGrid>
      <w:tr>
        <w:trPr>
          <w:cantSplit w:val="0"/>
          <w:tblHeader w:val="1"/>
        </w:trPr>
        <w:tc>
          <w:tcPr>
            <w:shd w:fill="29366d" w:val="clear"/>
            <w:tcMar>
              <w:top w:w="70.0" w:type="dxa"/>
              <w:left w:w="110.0" w:type="dxa"/>
              <w:bottom w:w="70.0" w:type="dxa"/>
              <w:right w:w="110.0" w:type="dxa"/>
            </w:tcMar>
          </w:tcPr>
          <w:p w:rsidR="00000000" w:rsidDel="00000000" w:rsidP="00000000" w:rsidRDefault="00000000" w:rsidRPr="00000000" w14:paraId="0000005C">
            <w:pPr>
              <w:spacing w:after="0" w:line="264" w:lineRule="auto"/>
              <w:jc w:val="center"/>
              <w:rPr/>
            </w:pPr>
            <w:r w:rsidDel="00000000" w:rsidR="00000000" w:rsidRPr="00000000">
              <w:rPr>
                <w:b w:val="1"/>
                <w:bCs w:val="1"/>
                <w:color w:val="ffffff"/>
                <w:rtl w:val="0"/>
              </w:rPr>
              <w:t xml:space="preserve">ID</w:t>
            </w:r>
            <w:r w:rsidDel="00000000" w:rsidR="00000000" w:rsidRPr="00000000">
              <w:rPr>
                <w:rtl w:val="0"/>
              </w:rPr>
            </w:r>
          </w:p>
        </w:tc>
        <w:tc>
          <w:tcPr>
            <w:shd w:fill="29366d" w:val="clear"/>
            <w:tcMar>
              <w:top w:w="70.0" w:type="dxa"/>
              <w:left w:w="110.0" w:type="dxa"/>
              <w:bottom w:w="70.0" w:type="dxa"/>
              <w:right w:w="110.0" w:type="dxa"/>
            </w:tcMar>
          </w:tcPr>
          <w:p w:rsidR="00000000" w:rsidDel="00000000" w:rsidP="00000000" w:rsidRDefault="00000000" w:rsidRPr="00000000" w14:paraId="0000005D">
            <w:pPr>
              <w:spacing w:after="0" w:line="264" w:lineRule="auto"/>
              <w:jc w:val="left"/>
              <w:rPr/>
            </w:pPr>
            <w:r w:rsidDel="00000000" w:rsidR="00000000" w:rsidRPr="00000000">
              <w:rPr>
                <w:b w:val="1"/>
                <w:bCs w:val="1"/>
                <w:color w:val="ffffff"/>
                <w:rtl w:val="0"/>
              </w:rPr>
              <w:t xml:space="preserve">Requerimiento funcional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E">
            <w:pPr>
              <w:spacing w:after="0" w:line="264" w:lineRule="auto"/>
              <w:jc w:val="center"/>
              <w:rPr/>
            </w:pPr>
            <w:r w:rsidDel="00000000" w:rsidR="00000000" w:rsidRPr="00000000">
              <w:rPr>
                <w:b w:val="0"/>
                <w:bCs w:val="0"/>
                <w:color w:val="1b1b1f"/>
                <w:rtl w:val="0"/>
              </w:rPr>
              <w:t xml:space="preserve">RF-01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F">
            <w:pPr>
              <w:spacing w:after="0" w:line="264" w:lineRule="auto"/>
              <w:jc w:val="left"/>
              <w:rPr/>
            </w:pPr>
            <w:r w:rsidDel="00000000" w:rsidR="00000000" w:rsidRPr="00000000">
              <w:rPr>
                <w:b w:val="0"/>
                <w:bCs w:val="0"/>
                <w:color w:val="1b1b1f"/>
                <w:rtl w:val="0"/>
              </w:rPr>
              <w:t xml:space="preserve">Exploración de la oferta por secciones (Eventos, Gastronomía, Cultura) con secciones prefiltradas y “Ver todos”.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0">
            <w:pPr>
              <w:spacing w:after="0" w:line="264" w:lineRule="auto"/>
              <w:jc w:val="center"/>
              <w:rPr/>
            </w:pPr>
            <w:r w:rsidDel="00000000" w:rsidR="00000000" w:rsidRPr="00000000">
              <w:rPr>
                <w:b w:val="0"/>
                <w:bCs w:val="0"/>
                <w:color w:val="1b1b1f"/>
                <w:rtl w:val="0"/>
              </w:rPr>
              <w:t xml:space="preserve">RF-02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1">
            <w:pPr>
              <w:spacing w:after="0" w:line="264" w:lineRule="auto"/>
              <w:jc w:val="left"/>
              <w:rPr/>
            </w:pPr>
            <w:r w:rsidDel="00000000" w:rsidR="00000000" w:rsidRPr="00000000">
              <w:rPr>
                <w:b w:val="0"/>
                <w:bCs w:val="0"/>
                <w:color w:val="1b1b1f"/>
                <w:rtl w:val="0"/>
              </w:rPr>
              <w:t xml:space="preserve">Filtrado por categoría y ordenación de resultados dentro de cada sección.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2">
            <w:pPr>
              <w:spacing w:after="0" w:line="264" w:lineRule="auto"/>
              <w:jc w:val="center"/>
              <w:rPr/>
            </w:pPr>
            <w:r w:rsidDel="00000000" w:rsidR="00000000" w:rsidRPr="00000000">
              <w:rPr>
                <w:b w:val="0"/>
                <w:bCs w:val="0"/>
                <w:color w:val="1b1b1f"/>
                <w:rtl w:val="0"/>
              </w:rPr>
              <w:t xml:space="preserve">RF-03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3">
            <w:pPr>
              <w:spacing w:after="0" w:line="264" w:lineRule="auto"/>
              <w:jc w:val="left"/>
              <w:rPr/>
            </w:pPr>
            <w:r w:rsidDel="00000000" w:rsidR="00000000" w:rsidRPr="00000000">
              <w:rPr>
                <w:b w:val="0"/>
                <w:bCs w:val="0"/>
                <w:color w:val="1b1b1f"/>
                <w:rtl w:val="0"/>
              </w:rPr>
              <w:t xml:space="preserve">Detalle de cada experiencia (evento, lugar o negocio) con su información y ubicación.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4">
            <w:pPr>
              <w:spacing w:after="0" w:line="264" w:lineRule="auto"/>
              <w:jc w:val="center"/>
              <w:rPr/>
            </w:pPr>
            <w:r w:rsidDel="00000000" w:rsidR="00000000" w:rsidRPr="00000000">
              <w:rPr>
                <w:b w:val="0"/>
                <w:bCs w:val="0"/>
                <w:color w:val="1b1b1f"/>
                <w:rtl w:val="0"/>
              </w:rPr>
              <w:t xml:space="preserve">RF-04</w:t>
            </w:r>
            <w:r w:rsidDel="00000000" w:rsidR="00000000" w:rsidRPr="00000000">
              <w:rPr>
                <w:rtl w:val="0"/>
              </w:rPr>
            </w:r>
          </w:p>
        </w:tc>
        <w:tc>
          <w:tcPr>
            <w:tcMar>
              <w:top w:w="70.0" w:type="dxa"/>
              <w:left w:w="110.0" w:type="dxa"/>
              <w:bottom w:w="70.0" w:type="dxa"/>
              <w:right w:w="110.0" w:type="dxa"/>
            </w:tcMar>
          </w:tcPr>
          <w:p>
            <w:r>
              <w:t>Asistente conversacional (chatbot) disponible en todas las páginas como FAB flotante. Detecta intención (gastronomía, cultura, eventos) y ubicación en lenguaje natural. Retorna una lista de ítems navegables con valoración estimada. Funciona sin sesión (sin personalización) y con sesión autenticada (cabecera X-User-Id para personalización futura).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6">
            <w:pPr>
              <w:spacing w:after="0" w:line="264" w:lineRule="auto"/>
              <w:jc w:val="center"/>
              <w:rPr/>
            </w:pPr>
            <w:r w:rsidDel="00000000" w:rsidR="00000000" w:rsidRPr="00000000">
              <w:rPr>
                <w:b w:val="0"/>
                <w:bCs w:val="0"/>
                <w:color w:val="1b1b1f"/>
                <w:rtl w:val="0"/>
              </w:rPr>
              <w:t xml:space="preserve">RF-05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7">
            <w:pPr>
              <w:spacing w:after="0" w:line="264" w:lineRule="auto"/>
              <w:jc w:val="left"/>
              <w:rPr/>
            </w:pPr>
            <w:r w:rsidDel="00000000" w:rsidR="00000000" w:rsidRPr="00000000">
              <w:rPr>
                <w:b w:val="0"/>
                <w:bCs w:val="0"/>
                <w:color w:val="1b1b1f"/>
                <w:rtl w:val="0"/>
              </w:rPr>
              <w:t xml:space="preserve">Gestión de cuenta de usuario: registro, inicio de sesión y favoritos.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8">
            <w:pPr>
              <w:spacing w:after="0" w:line="264" w:lineRule="auto"/>
              <w:jc w:val="center"/>
              <w:rPr/>
            </w:pPr>
            <w:r w:rsidDel="00000000" w:rsidR="00000000" w:rsidRPr="00000000">
              <w:rPr>
                <w:b w:val="0"/>
                <w:bCs w:val="0"/>
                <w:color w:val="1b1b1f"/>
                <w:rtl w:val="0"/>
              </w:rPr>
              <w:t xml:space="preserve">RF-06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9">
            <w:pPr>
              <w:spacing w:after="0" w:line="264" w:lineRule="auto"/>
              <w:jc w:val="left"/>
              <w:rPr/>
            </w:pPr>
            <w:r w:rsidDel="00000000" w:rsidR="00000000" w:rsidRPr="00000000">
              <w:rPr>
                <w:b w:val="0"/>
                <w:bCs w:val="0"/>
                <w:color w:val="1b1b1f"/>
                <w:rtl w:val="0"/>
              </w:rPr>
              <w:t xml:space="preserve">Soporte trilingüe (euskera, castellano, inglés) seleccionable por el usuario.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A">
            <w:pPr>
              <w:spacing w:after="0" w:line="264" w:lineRule="auto"/>
              <w:jc w:val="center"/>
              <w:rPr/>
            </w:pPr>
            <w:r w:rsidDel="00000000" w:rsidR="00000000" w:rsidRPr="00000000">
              <w:rPr>
                <w:b w:val="0"/>
                <w:bCs w:val="0"/>
                <w:color w:val="1b1b1f"/>
                <w:rtl w:val="0"/>
              </w:rPr>
              <w:t xml:space="preserve">RF-07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B">
            <w:pPr>
              <w:spacing w:after="0" w:line="264" w:lineRule="auto"/>
              <w:jc w:val="left"/>
              <w:rPr/>
            </w:pPr>
            <w:r w:rsidDel="00000000" w:rsidR="00000000" w:rsidRPr="00000000">
              <w:rPr>
                <w:b w:val="0"/>
                <w:bCs w:val="0"/>
                <w:color w:val="1b1b1f"/>
                <w:rtl w:val="0"/>
              </w:rPr>
              <w:t xml:space="preserve">Panel de administración: gestión de negocios y promociones. Desactivar un negocio desactiva su promoción asociada.</w:t>
            </w:r>
            <w:r w:rsidDel="00000000" w:rsidR="00000000" w:rsidRPr="00000000">
              <w:rPr>
                <w:rtl w:val="0"/>
              </w:rPr>
            </w:r>
          </w:p>
        </w:tc>
      </w:tr>
      <w:tr>
        <w:tc>
          <w:tcPr>
            <w:tcW w:type="dxa" w:w="1500"/>
          </w:tcPr>
          <w:p>
            <w:r>
              <w:t>RF-08</w:t>
            </w:r>
          </w:p>
        </w:tc>
        <w:tc>
          <w:tcPr>
            <w:tcW w:type="dxa" w:w="7526"/>
          </w:tcPr>
          <w:p>
            <w:r>
              <w:t>Gestión de contenido en el panel de administración con pestañas independientes para Gastronomía, Cultura y Eventos; búsqueda por nombre; filtro por categoría; y toggles para activar/desactivar y para marcar como patrocinado (is_sponsored) cada ítem.</w:t>
            </w:r>
          </w:p>
        </w:tc>
      </w:tr>
    </w:tbl>
    <w:p w:rsidR="00000000" w:rsidDel="00000000" w:rsidP="00000000" w:rsidRDefault="00000000" w:rsidRPr="00000000" w14:paraId="0000006C">
      <w:pPr>
        <w:spacing w:after="200" w:before="60" w:lineRule="auto"/>
        <w:jc w:val="left"/>
        <w:rPr/>
      </w:pPr>
      <w:r w:rsidDel="00000000" w:rsidR="00000000" w:rsidRPr="00000000">
        <w:rPr>
          <w:i w:val="1"/>
          <w:iCs w:val="1"/>
          <w:color w:val="5b5b66"/>
          <w:sz w:val="18"/>
          <w:szCs w:val="18"/>
          <w:rtl w:val="0"/>
        </w:rPr>
        <w:t xml:space="preserve">Tabla 1. Requerimientos funcionales (versión preliminar, pendiente de cierre con el equipo).</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1.2.4  Requerimientos no funcionales</w:t>
      </w:r>
    </w:p>
    <w:tbl>
      <w:tblPr>
        <w:tblStyle w:val="Table3"/>
        <w:tblW w:w="9026.0" w:type="dxa"/>
        <w:jc w:val="left"/>
        <w:tblBorders>
          <w:top w:color="d9d9e0" w:space="0" w:sz="4" w:val="single"/>
          <w:left w:color="d9d9e0" w:space="0" w:sz="4" w:val="single"/>
          <w:bottom w:color="d9d9e0" w:space="0" w:sz="4" w:val="single"/>
          <w:right w:color="d9d9e0" w:space="0" w:sz="4" w:val="single"/>
          <w:insideH w:color="d9d9e0" w:space="0" w:sz="4" w:val="single"/>
          <w:insideV w:color="d9d9e0" w:space="0" w:sz="4" w:val="single"/>
        </w:tblBorders>
        <w:tblLayout w:type="fixed"/>
        <w:tblLook w:val="0000"/>
      </w:tblPr>
      <w:tblGrid>
        <w:gridCol w:w="1500"/>
        <w:gridCol w:w="7526"/>
        <w:tblGridChange w:id="0">
          <w:tblGrid>
            <w:gridCol w:w="1500"/>
            <w:gridCol w:w="7526"/>
          </w:tblGrid>
        </w:tblGridChange>
      </w:tblGrid>
      <w:tr>
        <w:trPr>
          <w:cantSplit w:val="0"/>
          <w:tblHeader w:val="1"/>
        </w:trPr>
        <w:tc>
          <w:tcPr>
            <w:shd w:fill="29366d" w:val="clear"/>
            <w:tcMar>
              <w:top w:w="70.0" w:type="dxa"/>
              <w:left w:w="110.0" w:type="dxa"/>
              <w:bottom w:w="70.0" w:type="dxa"/>
              <w:right w:w="110.0" w:type="dxa"/>
            </w:tcMar>
          </w:tcPr>
          <w:p w:rsidR="00000000" w:rsidDel="00000000" w:rsidP="00000000" w:rsidRDefault="00000000" w:rsidRPr="00000000" w14:paraId="0000006E">
            <w:pPr>
              <w:spacing w:after="0" w:line="264" w:lineRule="auto"/>
              <w:jc w:val="center"/>
              <w:rPr/>
            </w:pPr>
            <w:r w:rsidDel="00000000" w:rsidR="00000000" w:rsidRPr="00000000">
              <w:rPr>
                <w:b w:val="1"/>
                <w:bCs w:val="1"/>
                <w:color w:val="ffffff"/>
                <w:rtl w:val="0"/>
              </w:rPr>
              <w:t xml:space="preserve">ID</w:t>
            </w:r>
            <w:r w:rsidDel="00000000" w:rsidR="00000000" w:rsidRPr="00000000">
              <w:rPr>
                <w:rtl w:val="0"/>
              </w:rPr>
            </w:r>
          </w:p>
        </w:tc>
        <w:tc>
          <w:tcPr>
            <w:shd w:fill="29366d" w:val="clear"/>
            <w:tcMar>
              <w:top w:w="70.0" w:type="dxa"/>
              <w:left w:w="110.0" w:type="dxa"/>
              <w:bottom w:w="70.0" w:type="dxa"/>
              <w:right w:w="110.0" w:type="dxa"/>
            </w:tcMar>
          </w:tcPr>
          <w:p w:rsidR="00000000" w:rsidDel="00000000" w:rsidP="00000000" w:rsidRDefault="00000000" w:rsidRPr="00000000" w14:paraId="0000006F">
            <w:pPr>
              <w:spacing w:after="0" w:line="264" w:lineRule="auto"/>
              <w:jc w:val="left"/>
              <w:rPr/>
            </w:pPr>
            <w:r w:rsidDel="00000000" w:rsidR="00000000" w:rsidRPr="00000000">
              <w:rPr>
                <w:b w:val="1"/>
                <w:bCs w:val="1"/>
                <w:color w:val="ffffff"/>
                <w:rtl w:val="0"/>
              </w:rPr>
              <w:t xml:space="preserve">Requerimiento no funcional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0">
            <w:pPr>
              <w:spacing w:after="0" w:line="264" w:lineRule="auto"/>
              <w:jc w:val="center"/>
              <w:rPr/>
            </w:pPr>
            <w:r w:rsidDel="00000000" w:rsidR="00000000" w:rsidRPr="00000000">
              <w:rPr>
                <w:b w:val="0"/>
                <w:bCs w:val="0"/>
                <w:color w:val="1b1b1f"/>
                <w:rtl w:val="0"/>
              </w:rPr>
              <w:t xml:space="preserve">RNF-01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1">
            <w:pPr>
              <w:spacing w:after="0" w:line="264" w:lineRule="auto"/>
              <w:jc w:val="left"/>
              <w:rPr/>
            </w:pPr>
            <w:r w:rsidDel="00000000" w:rsidR="00000000" w:rsidRPr="00000000">
              <w:rPr>
                <w:rFonts w:ascii="Arial Unicode MS" w:cs="Arial Unicode MS" w:eastAsia="Arial Unicode MS" w:hAnsi="Arial Unicode MS"/>
                <w:b w:val="0"/>
                <w:bCs w:val="0"/>
                <w:color w:val="1b1b1f"/>
                <w:rtl w:val="0"/>
              </w:rPr>
              <w:t xml:space="preserve">Accesibilidad conforme a WCAG 2.1 AA, con atención especial a la presbicia (tamaño de texto, contraste, foco visible, áreas táctiles ≥ 44 px).</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2">
            <w:pPr>
              <w:spacing w:after="0" w:line="264" w:lineRule="auto"/>
              <w:jc w:val="center"/>
              <w:rPr/>
            </w:pPr>
            <w:r w:rsidDel="00000000" w:rsidR="00000000" w:rsidRPr="00000000">
              <w:rPr>
                <w:b w:val="0"/>
                <w:bCs w:val="0"/>
                <w:color w:val="1b1b1f"/>
                <w:rtl w:val="0"/>
              </w:rPr>
              <w:t xml:space="preserve">RNF-02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3">
            <w:pPr>
              <w:spacing w:after="0" w:line="264" w:lineRule="auto"/>
              <w:jc w:val="left"/>
              <w:rPr/>
            </w:pPr>
            <w:r w:rsidDel="00000000" w:rsidR="00000000" w:rsidRPr="00000000">
              <w:rPr>
                <w:b w:val="0"/>
                <w:bCs w:val="0"/>
                <w:color w:val="1b1b1f"/>
                <w:rtl w:val="0"/>
              </w:rPr>
              <w:t xml:space="preserve">Diseño responsive (mobile-first) operativo en móvil, tablet y escritorio.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4">
            <w:pPr>
              <w:spacing w:after="0" w:line="264" w:lineRule="auto"/>
              <w:jc w:val="center"/>
              <w:rPr/>
            </w:pPr>
            <w:r w:rsidDel="00000000" w:rsidR="00000000" w:rsidRPr="00000000">
              <w:rPr>
                <w:b w:val="0"/>
                <w:bCs w:val="0"/>
                <w:color w:val="1b1b1f"/>
                <w:rtl w:val="0"/>
              </w:rPr>
              <w:t xml:space="preserve">RNF-03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5">
            <w:pPr>
              <w:spacing w:after="0" w:line="264" w:lineRule="auto"/>
              <w:jc w:val="left"/>
              <w:rPr/>
            </w:pPr>
            <w:r w:rsidDel="00000000" w:rsidR="00000000" w:rsidRPr="00000000">
              <w:rPr>
                <w:b w:val="0"/>
                <w:bCs w:val="0"/>
                <w:color w:val="1b1b1f"/>
                <w:rtl w:val="0"/>
              </w:rPr>
              <w:t xml:space="preserve">Seguridad según las prácticas de codificación segura de OWASP; autorización validada en servidor en cada endpoint.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6">
            <w:pPr>
              <w:spacing w:after="0" w:line="264" w:lineRule="auto"/>
              <w:jc w:val="center"/>
              <w:rPr/>
            </w:pPr>
            <w:r w:rsidDel="00000000" w:rsidR="00000000" w:rsidRPr="00000000">
              <w:rPr>
                <w:b w:val="0"/>
                <w:bCs w:val="0"/>
                <w:color w:val="1b1b1f"/>
                <w:rtl w:val="0"/>
              </w:rPr>
              <w:t xml:space="preserve">RNF-04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7">
            <w:pPr>
              <w:spacing w:after="0" w:line="264" w:lineRule="auto"/>
              <w:jc w:val="left"/>
              <w:rPr/>
            </w:pPr>
            <w:r w:rsidDel="00000000" w:rsidR="00000000" w:rsidRPr="00000000">
              <w:rPr>
                <w:b w:val="0"/>
                <w:bCs w:val="0"/>
                <w:color w:val="1b1b1f"/>
                <w:rtl w:val="0"/>
              </w:rPr>
              <w:t xml:space="preserve">Gestión de sesión con JWT y almacenamiento seguro del token (sin guardarlo en JavaScript del cliente).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8">
            <w:pPr>
              <w:spacing w:after="0" w:line="264" w:lineRule="auto"/>
              <w:jc w:val="center"/>
              <w:rPr/>
            </w:pPr>
            <w:r w:rsidDel="00000000" w:rsidR="00000000" w:rsidRPr="00000000">
              <w:rPr>
                <w:b w:val="0"/>
                <w:bCs w:val="0"/>
                <w:color w:val="1b1b1f"/>
                <w:rtl w:val="0"/>
              </w:rPr>
              <w:t xml:space="preserve">RNF-05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9">
            <w:pPr>
              <w:spacing w:after="0" w:line="264" w:lineRule="auto"/>
              <w:jc w:val="left"/>
              <w:rPr/>
            </w:pPr>
            <w:r w:rsidDel="00000000" w:rsidR="00000000" w:rsidRPr="00000000">
              <w:rPr>
                <w:b w:val="0"/>
                <w:bCs w:val="0"/>
                <w:color w:val="1b1b1f"/>
                <w:rtl w:val="0"/>
              </w:rPr>
              <w:t xml:space="preserve">Mantenibilidad: convenciones de nomenclatura en inglés, estilos en CSS externos con clases semánticas (BEM) y tokens globales.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A">
            <w:pPr>
              <w:spacing w:after="0" w:line="264" w:lineRule="auto"/>
              <w:jc w:val="center"/>
              <w:rPr/>
            </w:pPr>
            <w:r w:rsidDel="00000000" w:rsidR="00000000" w:rsidRPr="00000000">
              <w:rPr>
                <w:b w:val="0"/>
                <w:bCs w:val="0"/>
                <w:color w:val="1b1b1f"/>
                <w:rtl w:val="0"/>
              </w:rPr>
              <w:t xml:space="preserve">RNF-06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B">
            <w:pPr>
              <w:spacing w:after="0" w:line="264" w:lineRule="auto"/>
              <w:jc w:val="left"/>
              <w:rPr/>
            </w:pPr>
            <w:r w:rsidDel="00000000" w:rsidR="00000000" w:rsidRPr="00000000">
              <w:rPr>
                <w:b w:val="0"/>
                <w:bCs w:val="0"/>
                <w:color w:val="1b1b1f"/>
                <w:rtl w:val="0"/>
              </w:rPr>
              <w:t xml:space="preserve">Portabilidad del entorno mediante Docker.</w:t>
            </w:r>
            <w:r w:rsidDel="00000000" w:rsidR="00000000" w:rsidRPr="00000000">
              <w:rPr>
                <w:rtl w:val="0"/>
              </w:rPr>
            </w:r>
          </w:p>
        </w:tc>
      </w:tr>
    </w:tbl>
    <w:p w:rsidR="00000000" w:rsidDel="00000000" w:rsidP="00000000" w:rsidRDefault="00000000" w:rsidRPr="00000000" w14:paraId="0000007C">
      <w:pPr>
        <w:spacing w:after="200" w:before="60" w:lineRule="auto"/>
        <w:jc w:val="left"/>
        <w:rPr/>
      </w:pPr>
      <w:r w:rsidDel="00000000" w:rsidR="00000000" w:rsidRPr="00000000">
        <w:rPr>
          <w:i w:val="1"/>
          <w:iCs w:val="1"/>
          <w:color w:val="5b5b66"/>
          <w:sz w:val="18"/>
          <w:szCs w:val="18"/>
          <w:rtl w:val="0"/>
        </w:rPr>
        <w:t xml:space="preserve">Tabla 2. Requerimientos no funcionales (versión preliminar).</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1.3  Impacto social y de accesibilidad</w:t>
      </w:r>
    </w:p>
    <w:p w:rsidR="00000000" w:rsidDel="00000000" w:rsidP="00000000" w:rsidRDefault="00000000" w:rsidRPr="00000000" w14:paraId="0000007E">
      <w:pPr>
        <w:spacing w:after="160" w:line="276" w:lineRule="auto"/>
        <w:jc w:val="both"/>
        <w:rPr/>
      </w:pPr>
      <w:r w:rsidDel="00000000" w:rsidR="00000000" w:rsidRPr="00000000">
        <w:rPr>
          <w:rtl w:val="0"/>
        </w:rPr>
        <w:t xml:space="preserve">Aunque se trata de un proyecto formativo, su diseño se ha planteado atendiendo a tres dimensiones de impacto, en línea con los Objetivos de Desarrollo Sostenible (ODS):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Inclusión y reducción de desigualdades (ODS 10):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la prioridad de accesibilidad (WCAG 2.1 AA, presbicia) reduce barreras de uso para personas mayores y con baja visión, un colectivo a menudo desatendido por las aplicaciones de ocio.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Cultura y economía local (ODS 8 y 11):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al dar visibilidad curada a la oferta cultural y gastronómica del territorio y a los negocios locales, la aplicación contribuye a dinamizar el tejido cultural y económico de proximidad.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Diversidad lingüística (ODS 4 y 10):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el soporte trilingüe, con el euskera en igualdad con el castellano y el inglés, respeta y promueve la realidad lingüística del País Vasco.</w:t>
      </w:r>
    </w:p>
    <w:p w:rsidR="00000000" w:rsidDel="00000000" w:rsidP="00000000" w:rsidRDefault="00000000" w:rsidRPr="00000000" w14:paraId="00000082">
      <w:pPr>
        <w:spacing w:after="160" w:lineRule="auto"/>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1.4  Enfoque y método de trabajo</w:t>
      </w:r>
    </w:p>
    <w:p w:rsidR="00000000" w:rsidDel="00000000" w:rsidP="00000000" w:rsidRDefault="00000000" w:rsidRPr="00000000" w14:paraId="00000085">
      <w:pPr>
        <w:spacing w:after="160" w:line="276" w:lineRule="auto"/>
        <w:jc w:val="both"/>
        <w:rPr/>
      </w:pPr>
      <w:r w:rsidDel="00000000" w:rsidR="00000000" w:rsidRPr="00000000">
        <w:rPr>
          <w:rtl w:val="0"/>
        </w:rPr>
        <w:t xml:space="preserve">El proyecto se ha desarrollado dentro del </w:t>
      </w:r>
      <w:r w:rsidDel="00000000" w:rsidR="00000000" w:rsidRPr="00000000">
        <w:rPr>
          <w:b w:val="1"/>
          <w:bCs w:val="1"/>
          <w:rtl w:val="0"/>
        </w:rPr>
        <w:t xml:space="preserve">Desafío de Tripulaciones</w:t>
      </w:r>
      <w:r w:rsidDel="00000000" w:rsidR="00000000" w:rsidRPr="00000000">
        <w:rPr>
          <w:rtl w:val="0"/>
        </w:rPr>
        <w:t xml:space="preserve">, el reto final del bootcamp BBK/Inetum, coordinando cuatro equipos: </w:t>
      </w:r>
      <w:r w:rsidDel="00000000" w:rsidR="00000000" w:rsidRPr="00000000">
        <w:rPr>
          <w:b w:val="1"/>
          <w:bCs w:val="1"/>
          <w:rtl w:val="0"/>
        </w:rPr>
        <w:t xml:space="preserve">Full Stack, Data Science, Marketing y Ciberseguridad</w:t>
      </w:r>
      <w:r w:rsidDel="00000000" w:rsidR="00000000" w:rsidRPr="00000000">
        <w:rPr>
          <w:rtl w:val="0"/>
        </w:rPr>
        <w:t xml:space="preserve">. Esta memoria documenta el trabajo del equipo Full Stack (Equipo 3), que a su vez se organiza en dos subequipos.</w:t>
      </w:r>
    </w:p>
    <w:tbl>
      <w:tblPr>
        <w:tblStyle w:val="Table4"/>
        <w:tblW w:w="9026.0" w:type="dxa"/>
        <w:jc w:val="left"/>
        <w:tblBorders>
          <w:top w:color="d9d9e0" w:space="0" w:sz="4" w:val="single"/>
          <w:left w:color="d9d9e0" w:space="0" w:sz="4" w:val="single"/>
          <w:bottom w:color="d9d9e0" w:space="0" w:sz="4" w:val="single"/>
          <w:right w:color="d9d9e0" w:space="0" w:sz="4" w:val="single"/>
          <w:insideH w:color="d9d9e0" w:space="0" w:sz="4" w:val="single"/>
          <w:insideV w:color="d9d9e0" w:space="0" w:sz="4" w:val="single"/>
        </w:tblBorders>
        <w:tblLayout w:type="fixed"/>
        <w:tblLook w:val="0000"/>
      </w:tblPr>
      <w:tblGrid>
        <w:gridCol w:w="3200"/>
        <w:gridCol w:w="2913"/>
        <w:gridCol w:w="2913"/>
        <w:tblGridChange w:id="0">
          <w:tblGrid>
            <w:gridCol w:w="3200"/>
            <w:gridCol w:w="2913"/>
            <w:gridCol w:w="2913"/>
          </w:tblGrid>
        </w:tblGridChange>
      </w:tblGrid>
      <w:tr>
        <w:trPr>
          <w:cantSplit w:val="0"/>
          <w:tblHeader w:val="1"/>
        </w:trPr>
        <w:tc>
          <w:tcPr>
            <w:shd w:fill="29366d" w:val="clear"/>
            <w:tcMar>
              <w:top w:w="70.0" w:type="dxa"/>
              <w:left w:w="110.0" w:type="dxa"/>
              <w:bottom w:w="70.0" w:type="dxa"/>
              <w:right w:w="110.0" w:type="dxa"/>
            </w:tcMar>
          </w:tcPr>
          <w:p w:rsidR="00000000" w:rsidDel="00000000" w:rsidP="00000000" w:rsidRDefault="00000000" w:rsidRPr="00000000" w14:paraId="00000086">
            <w:pPr>
              <w:spacing w:after="0" w:line="264" w:lineRule="auto"/>
              <w:jc w:val="left"/>
              <w:rPr/>
            </w:pPr>
            <w:r w:rsidDel="00000000" w:rsidR="00000000" w:rsidRPr="00000000">
              <w:rPr>
                <w:b w:val="1"/>
                <w:bCs w:val="1"/>
                <w:color w:val="ffffff"/>
                <w:rtl w:val="0"/>
              </w:rPr>
              <w:t xml:space="preserve">Subequipo</w:t>
            </w:r>
            <w:r w:rsidDel="00000000" w:rsidR="00000000" w:rsidRPr="00000000">
              <w:rPr>
                <w:rtl w:val="0"/>
              </w:rPr>
            </w:r>
          </w:p>
        </w:tc>
        <w:tc>
          <w:tcPr>
            <w:shd w:fill="29366d" w:val="clear"/>
            <w:tcMar>
              <w:top w:w="70.0" w:type="dxa"/>
              <w:left w:w="110.0" w:type="dxa"/>
              <w:bottom w:w="70.0" w:type="dxa"/>
              <w:right w:w="110.0" w:type="dxa"/>
            </w:tcMar>
          </w:tcPr>
          <w:p w:rsidR="00000000" w:rsidDel="00000000" w:rsidP="00000000" w:rsidRDefault="00000000" w:rsidRPr="00000000" w14:paraId="00000087">
            <w:pPr>
              <w:spacing w:after="0" w:line="264" w:lineRule="auto"/>
              <w:jc w:val="left"/>
              <w:rPr/>
            </w:pPr>
            <w:r w:rsidDel="00000000" w:rsidR="00000000" w:rsidRPr="00000000">
              <w:rPr>
                <w:b w:val="1"/>
                <w:bCs w:val="1"/>
                <w:color w:val="ffffff"/>
                <w:rtl w:val="0"/>
              </w:rPr>
              <w:t xml:space="preserve">Integrantes</w:t>
            </w:r>
            <w:r w:rsidDel="00000000" w:rsidR="00000000" w:rsidRPr="00000000">
              <w:rPr>
                <w:rtl w:val="0"/>
              </w:rPr>
            </w:r>
          </w:p>
        </w:tc>
        <w:tc>
          <w:tcPr>
            <w:shd w:fill="29366d" w:val="clear"/>
            <w:tcMar>
              <w:top w:w="70.0" w:type="dxa"/>
              <w:left w:w="110.0" w:type="dxa"/>
              <w:bottom w:w="70.0" w:type="dxa"/>
              <w:right w:w="110.0" w:type="dxa"/>
            </w:tcMar>
          </w:tcPr>
          <w:p w:rsidR="00000000" w:rsidDel="00000000" w:rsidP="00000000" w:rsidRDefault="00000000" w:rsidRPr="00000000" w14:paraId="00000088">
            <w:pPr>
              <w:spacing w:after="0" w:line="264" w:lineRule="auto"/>
              <w:jc w:val="left"/>
              <w:rPr/>
            </w:pPr>
            <w:r w:rsidDel="00000000" w:rsidR="00000000" w:rsidRPr="00000000">
              <w:rPr>
                <w:b w:val="1"/>
                <w:bCs w:val="1"/>
                <w:color w:val="ffffff"/>
                <w:rtl w:val="0"/>
              </w:rPr>
              <w:t xml:space="preserve">Responsabilidad principal</w:t>
            </w:r>
            <w:r w:rsidDel="00000000" w:rsidR="00000000" w:rsidRPr="00000000">
              <w:rPr>
                <w:rtl w:val="0"/>
              </w:rPr>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89">
            <w:pPr>
              <w:spacing w:after="0" w:line="264" w:lineRule="auto"/>
              <w:jc w:val="left"/>
              <w:rPr/>
            </w:pPr>
            <w:r w:rsidDel="00000000" w:rsidR="00000000" w:rsidRPr="00000000">
              <w:rPr>
                <w:b w:val="0"/>
                <w:bCs w:val="0"/>
                <w:color w:val="1b1b1f"/>
                <w:rtl w:val="0"/>
              </w:rPr>
              <w:t xml:space="preserve">Backend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A">
            <w:pPr>
              <w:spacing w:after="0" w:line="264" w:lineRule="auto"/>
              <w:jc w:val="left"/>
              <w:rPr/>
            </w:pPr>
            <w:r w:rsidDel="00000000" w:rsidR="00000000" w:rsidRPr="00000000">
              <w:rPr>
                <w:b w:val="0"/>
                <w:bCs w:val="0"/>
                <w:color w:val="1b1b1f"/>
                <w:rtl w:val="0"/>
              </w:rPr>
              <w:t xml:space="preserve">Asier, Iker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B">
            <w:pPr>
              <w:spacing w:after="0" w:line="264" w:lineRule="auto"/>
              <w:jc w:val="left"/>
              <w:rPr/>
            </w:pPr>
            <w:r w:rsidDel="00000000" w:rsidR="00000000" w:rsidRPr="00000000">
              <w:rPr>
                <w:b w:val="0"/>
                <w:bCs w:val="0"/>
                <w:color w:val="1b1b1f"/>
                <w:rtl w:val="0"/>
              </w:rPr>
              <w:t xml:space="preserve">API, autenticación, lógica de usuario/admin, </w:t>
            </w:r>
            <w:r w:rsidDel="00000000" w:rsidR="00000000" w:rsidRPr="00000000">
              <w:rPr>
                <w:rtl w:val="0"/>
              </w:rPr>
              <w:t xml:space="preserve">BB.DD.</w:t>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8C">
            <w:pPr>
              <w:spacing w:after="0" w:line="264" w:lineRule="auto"/>
              <w:jc w:val="left"/>
              <w:rPr/>
            </w:pPr>
            <w:r w:rsidDel="00000000" w:rsidR="00000000" w:rsidRPr="00000000">
              <w:rPr>
                <w:b w:val="0"/>
                <w:bCs w:val="0"/>
                <w:color w:val="1b1b1f"/>
                <w:rtl w:val="0"/>
              </w:rPr>
              <w:t xml:space="preserve">Frontend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D">
            <w:pPr>
              <w:spacing w:after="0" w:line="264" w:lineRule="auto"/>
              <w:jc w:val="left"/>
              <w:rPr/>
            </w:pPr>
            <w:r w:rsidDel="00000000" w:rsidR="00000000" w:rsidRPr="00000000">
              <w:rPr>
                <w:b w:val="0"/>
                <w:bCs w:val="0"/>
                <w:color w:val="1b1b1f"/>
                <w:rtl w:val="0"/>
              </w:rPr>
              <w:t xml:space="preserve">Olatz, Jefferson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E">
            <w:pPr>
              <w:spacing w:after="0" w:line="264" w:lineRule="auto"/>
              <w:jc w:val="left"/>
              <w:rPr/>
            </w:pPr>
            <w:r w:rsidDel="00000000" w:rsidR="00000000" w:rsidRPr="00000000">
              <w:rPr>
                <w:b w:val="0"/>
                <w:bCs w:val="0"/>
                <w:color w:val="1b1b1f"/>
                <w:rtl w:val="0"/>
              </w:rPr>
              <w:t xml:space="preserve">SPA en React, componentes, páginas, accesibilidad</w:t>
            </w:r>
            <w:r w:rsidDel="00000000" w:rsidR="00000000" w:rsidRPr="00000000">
              <w:rPr>
                <w:rtl w:val="0"/>
              </w:rPr>
              <w:t xml:space="preserve">.</w:t>
            </w:r>
          </w:p>
        </w:tc>
      </w:tr>
    </w:tbl>
    <w:p w:rsidR="00000000" w:rsidDel="00000000" w:rsidP="00000000" w:rsidRDefault="00000000" w:rsidRPr="00000000" w14:paraId="0000008F">
      <w:pPr>
        <w:spacing w:after="200" w:before="60" w:lineRule="auto"/>
        <w:jc w:val="left"/>
        <w:rPr/>
      </w:pPr>
      <w:r w:rsidDel="00000000" w:rsidR="00000000" w:rsidRPr="00000000">
        <w:rPr>
          <w:i w:val="1"/>
          <w:iCs w:val="1"/>
          <w:color w:val="5b5b66"/>
          <w:sz w:val="18"/>
          <w:szCs w:val="18"/>
          <w:rtl w:val="0"/>
        </w:rPr>
        <w:t xml:space="preserve">Tabla 3. Composición del equipo Full Stack.</w:t>
      </w:r>
      <w:r w:rsidDel="00000000" w:rsidR="00000000" w:rsidRPr="00000000">
        <w:rPr>
          <w:rtl w:val="0"/>
        </w:rPr>
      </w:r>
    </w:p>
    <w:p w:rsidR="00000000" w:rsidDel="00000000" w:rsidP="00000000" w:rsidRDefault="00000000" w:rsidRPr="00000000" w14:paraId="00000090">
      <w:pPr>
        <w:spacing w:after="160" w:line="276" w:lineRule="auto"/>
        <w:jc w:val="both"/>
        <w:rPr/>
      </w:pPr>
      <w:r w:rsidDel="00000000" w:rsidR="00000000" w:rsidRPr="00000000">
        <w:rPr>
          <w:rtl w:val="0"/>
        </w:rPr>
        <w:t xml:space="preserve">En el plano de gestión se ha seguido un enfoque ágil con entregas incrementales y puntos de revisión periódicos. En el plano técnico, el desarrollo ha sido iterativo: el frontend y el backend han avanzado en paralelo a partir del contrato de la API, integrando progresivamente las funcionalidades y la fuente de datos del equipo de Data Science.</w:t>
      </w:r>
    </w:p>
    <w:p w:rsidR="00000000" w:rsidDel="00000000" w:rsidP="00000000" w:rsidRDefault="00000000" w:rsidRPr="00000000" w14:paraId="00000091">
      <w:pPr>
        <w:pStyle w:val="Heading2"/>
        <w:rPr/>
      </w:pPr>
      <w:r w:rsidDel="00000000" w:rsidR="00000000" w:rsidRPr="00000000">
        <w:rPr>
          <w:rtl w:val="0"/>
        </w:rPr>
        <w:t xml:space="preserve">1.5  Stack tecnológico y justificación</w:t>
      </w:r>
    </w:p>
    <w:p w:rsidR="00000000" w:rsidDel="00000000" w:rsidP="00000000" w:rsidRDefault="00000000" w:rsidRPr="00000000" w14:paraId="00000092">
      <w:pPr>
        <w:spacing w:after="160" w:line="276" w:lineRule="auto"/>
        <w:jc w:val="both"/>
        <w:rPr/>
      </w:pPr>
      <w:r w:rsidDel="00000000" w:rsidR="00000000" w:rsidRPr="00000000">
        <w:rPr>
          <w:rtl w:val="0"/>
        </w:rPr>
        <w:t xml:space="preserve">La siguiente tabla resume el stack del bloque Full Stack. Las decisiones se han tomado priorizando la productividad del equipo, la madurez del ecosistema y la coherencia con el resto de tripulaciones.</w:t>
      </w:r>
    </w:p>
    <w:tbl>
      <w:tblPr>
        <w:tblStyle w:val="Table5"/>
        <w:tblW w:w="9026.0" w:type="dxa"/>
        <w:jc w:val="left"/>
        <w:tblBorders>
          <w:top w:color="d9d9e0" w:space="0" w:sz="4" w:val="single"/>
          <w:left w:color="d9d9e0" w:space="0" w:sz="4" w:val="single"/>
          <w:bottom w:color="d9d9e0" w:space="0" w:sz="4" w:val="single"/>
          <w:right w:color="d9d9e0" w:space="0" w:sz="4" w:val="single"/>
          <w:insideH w:color="d9d9e0" w:space="0" w:sz="4" w:val="single"/>
          <w:insideV w:color="d9d9e0" w:space="0" w:sz="4" w:val="single"/>
        </w:tblBorders>
        <w:tblLayout w:type="fixed"/>
        <w:tblLook w:val="0000"/>
      </w:tblPr>
      <w:tblGrid>
        <w:gridCol w:w="2600"/>
        <w:gridCol w:w="3213"/>
        <w:gridCol w:w="3213"/>
        <w:tblGridChange w:id="0">
          <w:tblGrid>
            <w:gridCol w:w="2600"/>
            <w:gridCol w:w="3213"/>
            <w:gridCol w:w="3213"/>
          </w:tblGrid>
        </w:tblGridChange>
      </w:tblGrid>
      <w:tr>
        <w:trPr>
          <w:cantSplit w:val="0"/>
          <w:tblHeader w:val="1"/>
        </w:trPr>
        <w:tc>
          <w:tcPr>
            <w:shd w:fill="29366d" w:val="clear"/>
            <w:tcMar>
              <w:top w:w="70.0" w:type="dxa"/>
              <w:left w:w="110.0" w:type="dxa"/>
              <w:bottom w:w="70.0" w:type="dxa"/>
              <w:right w:w="110.0" w:type="dxa"/>
            </w:tcMar>
          </w:tcPr>
          <w:p w:rsidR="00000000" w:rsidDel="00000000" w:rsidP="00000000" w:rsidRDefault="00000000" w:rsidRPr="00000000" w14:paraId="00000093">
            <w:pPr>
              <w:spacing w:after="0" w:line="264" w:lineRule="auto"/>
              <w:jc w:val="left"/>
              <w:rPr/>
            </w:pPr>
            <w:r w:rsidDel="00000000" w:rsidR="00000000" w:rsidRPr="00000000">
              <w:rPr>
                <w:b w:val="1"/>
                <w:bCs w:val="1"/>
                <w:color w:val="ffffff"/>
                <w:rtl w:val="0"/>
              </w:rPr>
              <w:t xml:space="preserve">Capa / Función</w:t>
            </w:r>
            <w:r w:rsidDel="00000000" w:rsidR="00000000" w:rsidRPr="00000000">
              <w:rPr>
                <w:rtl w:val="0"/>
              </w:rPr>
            </w:r>
          </w:p>
        </w:tc>
        <w:tc>
          <w:tcPr>
            <w:shd w:fill="29366d" w:val="clear"/>
            <w:tcMar>
              <w:top w:w="70.0" w:type="dxa"/>
              <w:left w:w="110.0" w:type="dxa"/>
              <w:bottom w:w="70.0" w:type="dxa"/>
              <w:right w:w="110.0" w:type="dxa"/>
            </w:tcMar>
          </w:tcPr>
          <w:p w:rsidR="00000000" w:rsidDel="00000000" w:rsidP="00000000" w:rsidRDefault="00000000" w:rsidRPr="00000000" w14:paraId="00000094">
            <w:pPr>
              <w:spacing w:after="0" w:line="264" w:lineRule="auto"/>
              <w:jc w:val="left"/>
              <w:rPr/>
            </w:pPr>
            <w:r w:rsidDel="00000000" w:rsidR="00000000" w:rsidRPr="00000000">
              <w:rPr>
                <w:b w:val="1"/>
                <w:bCs w:val="1"/>
                <w:color w:val="ffffff"/>
                <w:rtl w:val="0"/>
              </w:rPr>
              <w:t xml:space="preserve">Tecnología</w:t>
            </w:r>
            <w:r w:rsidDel="00000000" w:rsidR="00000000" w:rsidRPr="00000000">
              <w:rPr>
                <w:rtl w:val="0"/>
              </w:rPr>
            </w:r>
          </w:p>
        </w:tc>
        <w:tc>
          <w:tcPr>
            <w:shd w:fill="29366d" w:val="clear"/>
            <w:tcMar>
              <w:top w:w="70.0" w:type="dxa"/>
              <w:left w:w="110.0" w:type="dxa"/>
              <w:bottom w:w="70.0" w:type="dxa"/>
              <w:right w:w="110.0" w:type="dxa"/>
            </w:tcMar>
          </w:tcPr>
          <w:p w:rsidR="00000000" w:rsidDel="00000000" w:rsidP="00000000" w:rsidRDefault="00000000" w:rsidRPr="00000000" w14:paraId="00000095">
            <w:pPr>
              <w:spacing w:after="0" w:line="264" w:lineRule="auto"/>
              <w:jc w:val="left"/>
              <w:rPr/>
            </w:pPr>
            <w:r w:rsidDel="00000000" w:rsidR="00000000" w:rsidRPr="00000000">
              <w:rPr>
                <w:b w:val="1"/>
                <w:bCs w:val="1"/>
                <w:color w:val="ffffff"/>
                <w:rtl w:val="0"/>
              </w:rPr>
              <w:t xml:space="preserve">Justificación</w:t>
            </w:r>
            <w:r w:rsidDel="00000000" w:rsidR="00000000" w:rsidRPr="00000000">
              <w:rPr>
                <w:rtl w:val="0"/>
              </w:rPr>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96">
            <w:pPr>
              <w:spacing w:after="0" w:line="264" w:lineRule="auto"/>
              <w:jc w:val="left"/>
              <w:rPr/>
            </w:pPr>
            <w:r w:rsidDel="00000000" w:rsidR="00000000" w:rsidRPr="00000000">
              <w:rPr>
                <w:b w:val="0"/>
                <w:bCs w:val="0"/>
                <w:color w:val="1b1b1f"/>
                <w:rtl w:val="0"/>
              </w:rPr>
              <w:t xml:space="preserve">Frontend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7">
            <w:pPr>
              <w:spacing w:after="0" w:line="264" w:lineRule="auto"/>
              <w:jc w:val="left"/>
              <w:rPr/>
            </w:pPr>
            <w:r w:rsidDel="00000000" w:rsidR="00000000" w:rsidRPr="00000000">
              <w:rPr>
                <w:b w:val="0"/>
                <w:bCs w:val="0"/>
                <w:color w:val="1b1b1f"/>
                <w:rtl w:val="0"/>
              </w:rPr>
              <w:t xml:space="preserve">React + Vite (JavaScript), react-router v7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8">
            <w:pPr>
              <w:spacing w:after="0" w:line="264" w:lineRule="auto"/>
              <w:jc w:val="left"/>
              <w:rPr/>
            </w:pPr>
            <w:r w:rsidDel="00000000" w:rsidR="00000000" w:rsidRPr="00000000">
              <w:rPr>
                <w:b w:val="0"/>
                <w:bCs w:val="0"/>
                <w:color w:val="1b1b1f"/>
                <w:rtl w:val="0"/>
              </w:rPr>
              <w:t xml:space="preserve">Ecosistema maduro y ágil; Vite acelera el desarrollo; SPA mobile-first.</w:t>
            </w:r>
            <w:r w:rsidDel="00000000" w:rsidR="00000000" w:rsidRPr="00000000">
              <w:rPr>
                <w:rtl w:val="0"/>
              </w:rPr>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99">
            <w:pPr>
              <w:spacing w:after="0" w:line="264" w:lineRule="auto"/>
              <w:jc w:val="left"/>
              <w:rPr/>
            </w:pPr>
            <w:r w:rsidDel="00000000" w:rsidR="00000000" w:rsidRPr="00000000">
              <w:rPr>
                <w:b w:val="0"/>
                <w:bCs w:val="0"/>
                <w:color w:val="1b1b1f"/>
                <w:rtl w:val="0"/>
              </w:rPr>
              <w:t xml:space="preserve">Estilos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A">
            <w:pPr>
              <w:spacing w:after="0" w:line="264" w:lineRule="auto"/>
              <w:jc w:val="left"/>
              <w:rPr/>
            </w:pPr>
            <w:r w:rsidDel="00000000" w:rsidR="00000000" w:rsidRPr="00000000">
              <w:rPr>
                <w:b w:val="0"/>
                <w:bCs w:val="0"/>
                <w:color w:val="1b1b1f"/>
                <w:rtl w:val="0"/>
              </w:rPr>
              <w:t xml:space="preserve">CSS por componente con clases semánticas (BEM) y tokens en index.css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B">
            <w:pPr>
              <w:spacing w:after="0" w:line="264" w:lineRule="auto"/>
              <w:jc w:val="left"/>
              <w:rPr/>
            </w:pPr>
            <w:r w:rsidDel="00000000" w:rsidR="00000000" w:rsidRPr="00000000">
              <w:rPr>
                <w:b w:val="0"/>
                <w:bCs w:val="0"/>
                <w:color w:val="1b1b1f"/>
                <w:rtl w:val="0"/>
              </w:rPr>
              <w:t xml:space="preserve">Separación estricta estructura/estilo; coherencia visual y mantenibilidad.</w:t>
            </w:r>
            <w:r w:rsidDel="00000000" w:rsidR="00000000" w:rsidRPr="00000000">
              <w:rPr>
                <w:rtl w:val="0"/>
              </w:rPr>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9C">
            <w:pPr>
              <w:spacing w:after="0" w:line="264" w:lineRule="auto"/>
              <w:jc w:val="left"/>
              <w:rPr/>
            </w:pPr>
            <w:r w:rsidDel="00000000" w:rsidR="00000000" w:rsidRPr="00000000">
              <w:rPr>
                <w:b w:val="0"/>
                <w:bCs w:val="0"/>
                <w:color w:val="1b1b1f"/>
                <w:rtl w:val="0"/>
              </w:rPr>
              <w:t xml:space="preserve">Backend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D">
            <w:pPr>
              <w:spacing w:after="0" w:line="264" w:lineRule="auto"/>
              <w:jc w:val="left"/>
              <w:rPr/>
            </w:pPr>
            <w:r w:rsidDel="00000000" w:rsidR="00000000" w:rsidRPr="00000000">
              <w:rPr>
                <w:b w:val="0"/>
                <w:bCs w:val="0"/>
                <w:color w:val="1b1b1f"/>
                <w:rtl w:val="0"/>
              </w:rPr>
              <w:t xml:space="preserve">Node.js + Express + TypeScript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E">
            <w:pPr>
              <w:spacing w:after="0" w:line="264" w:lineRule="auto"/>
              <w:jc w:val="left"/>
              <w:rPr/>
            </w:pPr>
            <w:r w:rsidDel="00000000" w:rsidR="00000000" w:rsidRPr="00000000">
              <w:rPr>
                <w:b w:val="0"/>
                <w:bCs w:val="0"/>
                <w:color w:val="1b1b1f"/>
                <w:rtl w:val="0"/>
              </w:rPr>
              <w:t xml:space="preserve">Arquitectura no bloqueante; tipado estático para fiabilidad.</w:t>
            </w:r>
            <w:r w:rsidDel="00000000" w:rsidR="00000000" w:rsidRPr="00000000">
              <w:rPr>
                <w:rtl w:val="0"/>
              </w:rPr>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9F">
            <w:pPr>
              <w:spacing w:after="0" w:line="264" w:lineRule="auto"/>
              <w:jc w:val="left"/>
              <w:rPr/>
            </w:pPr>
            <w:r w:rsidDel="00000000" w:rsidR="00000000" w:rsidRPr="00000000">
              <w:rPr>
                <w:b w:val="0"/>
                <w:bCs w:val="0"/>
                <w:color w:val="1b1b1f"/>
                <w:rtl w:val="0"/>
              </w:rPr>
              <w:t xml:space="preserve">ORM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0">
            <w:pPr>
              <w:spacing w:after="0" w:line="264" w:lineRule="auto"/>
              <w:jc w:val="left"/>
              <w:rPr/>
            </w:pPr>
            <w:r w:rsidDel="00000000" w:rsidR="00000000" w:rsidRPr="00000000">
              <w:rPr>
                <w:b w:val="0"/>
                <w:bCs w:val="0"/>
                <w:color w:val="1b1b1f"/>
                <w:rtl w:val="0"/>
              </w:rPr>
              <w:t xml:space="preserve">Sequelize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1">
            <w:pPr>
              <w:spacing w:after="0" w:line="264" w:lineRule="auto"/>
              <w:jc w:val="left"/>
              <w:rPr/>
            </w:pPr>
            <w:r w:rsidDel="00000000" w:rsidR="00000000" w:rsidRPr="00000000">
              <w:rPr>
                <w:rtl w:val="0"/>
              </w:rPr>
              <w:t xml:space="preserve">Gestión eficaz de la BB.DD.</w:t>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A2">
            <w:pPr>
              <w:spacing w:after="0" w:line="264" w:lineRule="auto"/>
              <w:jc w:val="left"/>
              <w:rPr/>
            </w:pPr>
            <w:r w:rsidDel="00000000" w:rsidR="00000000" w:rsidRPr="00000000">
              <w:rPr>
                <w:b w:val="0"/>
                <w:bCs w:val="0"/>
                <w:color w:val="1b1b1f"/>
                <w:rtl w:val="0"/>
              </w:rPr>
              <w:t xml:space="preserve">Base de datos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3">
            <w:pPr>
              <w:spacing w:after="0" w:line="264" w:lineRule="auto"/>
              <w:jc w:val="left"/>
              <w:rPr/>
            </w:pPr>
            <w:r w:rsidDel="00000000" w:rsidR="00000000" w:rsidRPr="00000000">
              <w:rPr>
                <w:b w:val="0"/>
                <w:bCs w:val="0"/>
                <w:color w:val="1b1b1f"/>
                <w:rtl w:val="0"/>
              </w:rPr>
              <w:t xml:space="preserve">PostgreSQL 16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4">
            <w:pPr>
              <w:spacing w:after="0" w:line="264" w:lineRule="auto"/>
              <w:jc w:val="left"/>
              <w:rPr/>
            </w:pPr>
            <w:r w:rsidDel="00000000" w:rsidR="00000000" w:rsidRPr="00000000">
              <w:rPr>
                <w:b w:val="0"/>
                <w:bCs w:val="0"/>
                <w:color w:val="1b1b1f"/>
                <w:rtl w:val="0"/>
              </w:rPr>
              <w:t xml:space="preserve">Integridad referencial entre usuarios, negocios y promociones.</w:t>
            </w:r>
            <w:r w:rsidDel="00000000" w:rsidR="00000000" w:rsidRPr="00000000">
              <w:rPr>
                <w:rtl w:val="0"/>
              </w:rPr>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A5">
            <w:pPr>
              <w:spacing w:after="0" w:line="264" w:lineRule="auto"/>
              <w:jc w:val="left"/>
              <w:rPr/>
            </w:pPr>
            <w:r w:rsidDel="00000000" w:rsidR="00000000" w:rsidRPr="00000000">
              <w:rPr>
                <w:b w:val="0"/>
                <w:bCs w:val="0"/>
                <w:color w:val="1b1b1f"/>
                <w:rtl w:val="0"/>
              </w:rPr>
              <w:t xml:space="preserve">Autenticación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6">
            <w:pPr>
              <w:spacing w:after="0" w:line="264" w:lineRule="auto"/>
              <w:jc w:val="left"/>
              <w:rPr/>
            </w:pPr>
            <w:r w:rsidDel="00000000" w:rsidR="00000000" w:rsidRPr="00000000">
              <w:rPr>
                <w:b w:val="0"/>
                <w:bCs w:val="0"/>
                <w:color w:val="1b1b1f"/>
                <w:rtl w:val="0"/>
              </w:rPr>
              <w:t xml:space="preserve">JWT (access + refresh) y bcrypt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7">
            <w:pPr>
              <w:spacing w:after="0" w:line="264" w:lineRule="auto"/>
              <w:jc w:val="left"/>
              <w:rPr/>
            </w:pPr>
            <w:r w:rsidDel="00000000" w:rsidR="00000000" w:rsidRPr="00000000">
              <w:rPr>
                <w:b w:val="0"/>
                <w:bCs w:val="0"/>
                <w:color w:val="1b1b1f"/>
                <w:rtl w:val="0"/>
              </w:rPr>
              <w:t xml:space="preserve">Sesión sin estado y hashing seguro de contraseñas.</w:t>
            </w:r>
            <w:r w:rsidDel="00000000" w:rsidR="00000000" w:rsidRPr="00000000">
              <w:rPr>
                <w:rtl w:val="0"/>
              </w:rPr>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A8">
            <w:pPr>
              <w:spacing w:after="0" w:line="264" w:lineRule="auto"/>
              <w:jc w:val="left"/>
              <w:rPr/>
            </w:pPr>
            <w:r w:rsidDel="00000000" w:rsidR="00000000" w:rsidRPr="00000000">
              <w:rPr>
                <w:b w:val="0"/>
                <w:bCs w:val="0"/>
                <w:color w:val="1b1b1f"/>
                <w:rtl w:val="0"/>
              </w:rPr>
              <w:t xml:space="preserve">Datos / IA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9">
            <w:pPr>
              <w:spacing w:after="0" w:line="264" w:lineRule="auto"/>
              <w:jc w:val="left"/>
              <w:rPr/>
            </w:pPr>
            <w:r w:rsidDel="00000000" w:rsidR="00000000" w:rsidRPr="00000000">
              <w:rPr>
                <w:b w:val="0"/>
                <w:bCs w:val="0"/>
                <w:color w:val="1b1b1f"/>
                <w:rtl w:val="0"/>
              </w:rPr>
              <w:t xml:space="preserve">API del equipo de Data Science (GEO-Euskadi, Kulturklik, Google Places) + modelo ML + chatbot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A">
            <w:pPr>
              <w:spacing w:after="0" w:line="264" w:lineRule="auto"/>
              <w:jc w:val="left"/>
              <w:rPr/>
            </w:pPr>
            <w:r w:rsidDel="00000000" w:rsidR="00000000" w:rsidRPr="00000000">
              <w:rPr>
                <w:b w:val="0"/>
                <w:bCs w:val="0"/>
                <w:color w:val="1b1b1f"/>
                <w:rtl w:val="0"/>
              </w:rPr>
              <w:t xml:space="preserve">Fuente única de datos curados y recomendación.</w:t>
            </w:r>
            <w:r w:rsidDel="00000000" w:rsidR="00000000" w:rsidRPr="00000000">
              <w:rPr>
                <w:rtl w:val="0"/>
              </w:rPr>
            </w:r>
          </w:p>
        </w:tc>
      </w:tr>
      <w:tr>
        <w:trPr>
          <w:cantSplit w:val="0"/>
          <w:tblHeader w:val="0"/>
        </w:trPr>
        <w:tc>
          <w:tcPr>
            <w:shd w:fill="f3f1f6" w:val="clear"/>
            <w:tcMar>
              <w:top w:w="70.0" w:type="dxa"/>
              <w:left w:w="110.0" w:type="dxa"/>
              <w:bottom w:w="70.0" w:type="dxa"/>
              <w:right w:w="110.0" w:type="dxa"/>
            </w:tcMar>
          </w:tcPr>
          <w:p w:rsidR="00000000" w:rsidDel="00000000" w:rsidP="00000000" w:rsidRDefault="00000000" w:rsidRPr="00000000" w14:paraId="000000AB">
            <w:pPr>
              <w:spacing w:after="0" w:line="264" w:lineRule="auto"/>
              <w:jc w:val="left"/>
              <w:rPr/>
            </w:pPr>
            <w:r w:rsidDel="00000000" w:rsidR="00000000" w:rsidRPr="00000000">
              <w:rPr>
                <w:b w:val="0"/>
                <w:bCs w:val="0"/>
                <w:color w:val="1b1b1f"/>
                <w:rtl w:val="0"/>
              </w:rPr>
              <w:t xml:space="preserve">Despliegue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C">
            <w:pPr>
              <w:spacing w:after="0" w:line="264" w:lineRule="auto"/>
              <w:jc w:val="left"/>
              <w:rPr/>
            </w:pPr>
            <w:r w:rsidDel="00000000" w:rsidR="00000000" w:rsidRPr="00000000">
              <w:rPr>
                <w:b w:val="0"/>
                <w:bCs w:val="0"/>
                <w:color w:val="1b1b1f"/>
                <w:rtl w:val="0"/>
              </w:rPr>
              <w:t xml:space="preserve">Docker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D">
            <w:pPr>
              <w:spacing w:after="0" w:line="264" w:lineRule="auto"/>
              <w:jc w:val="left"/>
              <w:rPr/>
            </w:pPr>
            <w:r w:rsidDel="00000000" w:rsidR="00000000" w:rsidRPr="00000000">
              <w:rPr>
                <w:b w:val="0"/>
                <w:bCs w:val="0"/>
                <w:color w:val="1b1b1f"/>
                <w:rtl w:val="0"/>
              </w:rPr>
              <w:t xml:space="preserve">Entornos reproducibles entre equipos.</w:t>
            </w:r>
            <w:r w:rsidDel="00000000" w:rsidR="00000000" w:rsidRPr="00000000">
              <w:rPr>
                <w:rtl w:val="0"/>
              </w:rPr>
            </w:r>
          </w:p>
        </w:tc>
      </w:tr>
    </w:tbl>
    <w:p w:rsidR="00000000" w:rsidDel="00000000" w:rsidP="00000000" w:rsidRDefault="00000000" w:rsidRPr="00000000" w14:paraId="000000AE">
      <w:pPr>
        <w:spacing w:after="200" w:before="60" w:lineRule="auto"/>
        <w:jc w:val="left"/>
        <w:rPr/>
      </w:pPr>
      <w:r w:rsidDel="00000000" w:rsidR="00000000" w:rsidRPr="00000000">
        <w:rPr>
          <w:i w:val="1"/>
          <w:iCs w:val="1"/>
          <w:color w:val="5b5b66"/>
          <w:sz w:val="18"/>
          <w:szCs w:val="18"/>
          <w:rtl w:val="0"/>
        </w:rPr>
        <w:t xml:space="preserve">Tabla 4. Stack tecnológico del bloque Full Stack.</w:t>
      </w:r>
      <w:r w:rsidDel="00000000" w:rsidR="00000000" w:rsidRPr="00000000">
        <w:rPr>
          <w:rtl w:val="0"/>
        </w:rPr>
      </w:r>
    </w:p>
    <w:p w:rsidR="00000000" w:rsidDel="00000000" w:rsidP="00000000" w:rsidRDefault="00000000" w:rsidRPr="00000000" w14:paraId="000000AF">
      <w:pPr>
        <w:spacing w:after="160" w:lineRule="auto"/>
        <w:jc w:val="both"/>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1.6  Sumario de productos obtenidos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Aplicación web: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SPA en React + Vite con backend en Node.js + Express y PostgreSQL, integrada con la API de Data Science.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Memoria técnica: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el presente documento, que recoge el ciclo de vida del bloque Full Stack.</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Presentación y defensa: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material de presentación del proyecto ante el tribunal del bootcamp.</w:t>
      </w:r>
    </w:p>
    <w:p w:rsidR="00000000" w:rsidDel="00000000" w:rsidP="00000000" w:rsidRDefault="00000000" w:rsidRPr="00000000" w14:paraId="000000B4">
      <w:pPr>
        <w:pStyle w:val="Heading2"/>
        <w:rPr/>
      </w:pPr>
      <w:r w:rsidDel="00000000" w:rsidR="00000000" w:rsidRPr="00000000">
        <w:rPr>
          <w:rtl w:val="0"/>
        </w:rPr>
        <w:t xml:space="preserve">1.7  Breve descripción de los demás capítulos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Capítulo 2. Diseño y arquitectura: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público objetivo, casos de uso, modelo de datos y arquitectura de la aplicación.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Capítulo 3. Implementación: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decisiones técnicas del frontend (estructura, componentes, enrutado, accesibilidad) y del backend, con la seguridad aplicada de forma transversal.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Capítulo 4. Pruebas y calidad (QA):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estrategia de validación y resultados de las pruebas.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Capítulo 5. Planificación: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organización del trabajo, cronograma y desviaciones.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Capítulo 6. Resultados: </w:t>
      </w:r>
      <w:r w:rsidDel="00000000" w:rsidR="00000000" w:rsidRPr="00000000">
        <w:rPr>
          <w:rFonts w:ascii="Arial" w:cs="Arial" w:eastAsia="Arial" w:hAnsi="Arial"/>
          <w:b w:val="0"/>
          <w:bCs w:val="0"/>
          <w:i w:val="0"/>
          <w:iCs w:val="0"/>
          <w:smallCaps w:val="0"/>
          <w:strike w:val="0"/>
          <w:color w:val="1b1b1f"/>
          <w:sz w:val="22"/>
          <w:szCs w:val="22"/>
          <w:u w:val="none"/>
          <w:shd w:fill="auto" w:val="clear"/>
          <w:vertAlign w:val="baseline"/>
          <w:rtl w:val="0"/>
        </w:rPr>
        <w:t xml:space="preserve">producto final y grado de cumplimiento de los requerimientos.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both"/>
        <w:rPr/>
      </w:pPr>
      <w:r w:rsidDel="00000000" w:rsidR="00000000" w:rsidRPr="00000000">
        <w:rPr>
          <w:rFonts w:ascii="Arial" w:cs="Arial" w:eastAsia="Arial" w:hAnsi="Arial"/>
          <w:b w:val="1"/>
          <w:bCs w:val="1"/>
          <w:i w:val="0"/>
          <w:iCs w:val="0"/>
          <w:smallCaps w:val="0"/>
          <w:strike w:val="0"/>
          <w:color w:val="1b1b1f"/>
          <w:sz w:val="22"/>
          <w:szCs w:val="22"/>
          <w:u w:val="none"/>
          <w:shd w:fill="auto" w:val="clear"/>
          <w:vertAlign w:val="baseline"/>
          <w:rtl w:val="0"/>
        </w:rPr>
        <w:t xml:space="preserve">Capítulo 7. Conclusiones y trabajos futuros.</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1.8  Declaración sobre el uso de inteligencia artificial generativa</w:t>
      </w:r>
    </w:p>
    <w:p w:rsidR="00000000" w:rsidDel="00000000" w:rsidP="00000000" w:rsidRDefault="00000000" w:rsidRPr="00000000" w14:paraId="000000BC">
      <w:pPr>
        <w:spacing w:after="160" w:line="276" w:lineRule="auto"/>
        <w:jc w:val="both"/>
        <w:rPr/>
      </w:pPr>
      <w:r w:rsidDel="00000000" w:rsidR="00000000" w:rsidRPr="00000000">
        <w:rPr>
          <w:rtl w:val="0"/>
        </w:rPr>
        <w:t xml:space="preserve">Manteniendo un compromiso de honestidad, se declara el uso de herramientas de inteligencia artificial generativa bajo un enfoque de asistencia instrumental, conservando en todo momento el control técnico y creativo del proyecto. Se ha empleado para apoyo en la estructuración del documento, consultas técnicas puntuales, mejora de redacción y estilo, y apoyo en la documentación del código. En ningún caso se ha copiado texto de forma directa sin revisión: todo el contenido ha sido verificado, editado y validado por el equipo.</w:t>
      </w:r>
      <w:r w:rsidDel="00000000" w:rsidR="00000000" w:rsidRPr="00000000">
        <w:rPr>
          <w:rtl w:val="0"/>
        </w:rPr>
      </w:r>
    </w:p>
    <w:p w:rsidR="00000000" w:rsidDel="00000000" w:rsidP="00000000" w:rsidRDefault="00000000" w:rsidRPr="00000000" w14:paraId="000000BD">
      <w:pPr>
        <w:spacing w:after="80" w:lineRule="auto"/>
        <w:jc w:val="left"/>
        <w:rPr/>
      </w:pPr>
      <w:r w:rsidDel="00000000" w:rsidR="00000000" w:rsidRPr="00000000">
        <w:rPr>
          <w:rtl w:val="0"/>
        </w:rPr>
      </w:r>
    </w:p>
    <w:p>
      <w:r>
        <w:br w:type="page"/>
      </w:r>
    </w:p>
    <w:p>
      <w:pPr>
        <w:pStyle w:val="Heading1"/>
      </w:pPr>
      <w:r>
        <w:t>2  Diseño y Arquitectura</w:t>
      </w:r>
    </w:p>
    <w:p>
      <w:pPr>
        <w:pStyle w:val="Heading2"/>
      </w:pPr>
      <w:r>
        <w:t>2.1  Arquitectura general</w:t>
      </w:r>
    </w:p>
    <w:p>
      <w:pPr/>
      <w:r>
        <w:t>SustraiApp sigue una arquitectura de tres capas diferenciadas con una capa adicional de ciencia de datos:</w:t>
      </w:r>
    </w:p>
    <w:p>
      <w:pPr/>
      <w:r>
        <w:t>• Frontend SPA (React + Vite): interfaz de usuario servida estáticamente, comunica con el backend mediante la API REST y con la capa de DS a través del proxy del backend.</w:t>
      </w:r>
    </w:p>
    <w:p>
      <w:pPr/>
      <w:r>
        <w:t>• Backend Node.js + Express: API REST con autenticación JWT (httpOnly cookie), lógica de negocio, acceso a PostgreSQL vía Sequelize y proxy hacia la API de Data Science.</w:t>
      </w:r>
    </w:p>
    <w:p>
      <w:pPr/>
      <w:r>
        <w:t>• Base de datos PostgreSQL: almacena usuarios, favoritos, municipios, negocios de gastronomía, cultura y eventos.</w:t>
      </w:r>
    </w:p>
    <w:p>
      <w:pPr/>
      <w:r>
        <w:t>• API de Data Science (Flask/Python): expone los endpoints de recomendación, listado y el chatbot asistente; conecta a la misma base de datos PostgreSQL.</w:t>
      </w:r>
    </w:p>
    <w:p>
      <w:pPr>
        <w:pStyle w:val="Heading2"/>
      </w:pPr>
      <w:r>
        <w:t>2.2  Modelo de datos principal</w:t>
      </w:r>
    </w:p>
    <w:p>
      <w:pPr/>
      <w:r>
        <w:t>Las entidades centrales son: Usuario (autenticación y perfil), Municipio (lookup geográfico), Gastronomia, Cultura y Evento (contenido), Favorite (relación usuario-ítem), GastronomyQualification/Qualification (distinciones Michelin/Repsol), UserInteres/Interes (intereses del usuario para personalización).</w:t>
      </w:r>
    </w:p>
    <w:p>
      <w:pPr/>
      <w:r>
        <w:t>Los modelos de contenido (Gastronomia, Cultura, Evento) comparten los campos active (visibilidad) e is_sponsored (promoción destacada), gestionados desde el panel de administración.</w:t>
      </w:r>
    </w:p>
    <w:p>
      <w:pPr>
        <w:pStyle w:val="Heading2"/>
      </w:pPr>
      <w:r>
        <w:t>2.3  Flujo de datos del chatbot</w:t>
      </w:r>
    </w:p>
    <w:p>
      <w:pPr/>
      <w:r>
        <w:t>El chatbot sigue un flujo de tres saltos: (1) el Frontend envía el mensaje del usuario junto con un session_id al endpoint POST /api/chat del Backend Node.js; (2) el Backend extrae opcionalmente el userId del JWT y hace de proxy hacia el endpoint POST /api/chat de la API Flask (DataV2), adjuntando la cabecera X-User-Id si hay sesión; (3) la lógica Python analiza el texto, consulta la base de datos y devuelve una respuesta estructurada (suggestion, items[], aviso).</w:t>
      </w:r>
    </w:p>
    <w:p>
      <w:r>
        <w:br w:type="page"/>
      </w:r>
    </w:p>
    <w:p>
      <w:pPr>
        <w:pStyle w:val="Heading1"/>
      </w:pPr>
      <w:r>
        <w:t>3  Implementación</w:t>
      </w:r>
    </w:p>
    <w:p>
      <w:pPr>
        <w:pStyle w:val="Heading2"/>
      </w:pPr>
      <w:r>
        <w:t>3.1  Frontend</w:t>
      </w:r>
    </w:p>
    <w:p>
      <w:pPr>
        <w:pStyle w:val="Heading3"/>
      </w:pPr>
      <w:r>
        <w:t>3.1.1  Estructura de módulos</w:t>
      </w:r>
    </w:p>
    <w:p>
      <w:pPr/>
      <w:r>
        <w:t>El frontend sigue una organización feature-first bajo src/features/, con una carpeta por dominio (auth, chatbot, culture, events, gastronomy, home, profile, admin, favorite). Los servicios de API residen en src/services/ y los componentes transversales en src/shared/.</w:t>
      </w:r>
    </w:p>
    <w:p>
      <w:pPr>
        <w:pStyle w:val="Heading3"/>
      </w:pPr>
      <w:r>
        <w:t>3.1.2  Chatbot (Chatbot.jsx)</w:t>
      </w:r>
    </w:p>
    <w:p>
      <w:pPr/>
      <w:r>
        <w:t>El asistente conversacional se implementa como un componente flotante accesible desde cualquier página de la aplicación (FAB con aria-haspopup="dialog"). Su comportamiento:</w:t>
      </w:r>
    </w:p>
    <w:p>
      <w:pPr/>
      <w:r>
        <w:t>• Un botón circular fijo (chatbot__fab) abre un panel tipo dialog (role="dialog", aria-modal="true") con cabecera, área de mensajes y formulario de envío.</w:t>
      </w:r>
    </w:p>
    <w:p>
      <w:pPr/>
      <w:r>
        <w:t>• Cada turno de conversación añade una burbuja de usuario y una de asistente. La respuesta del asistente puede incluir un texto de sugerencia, una lista de ítems recomendados y un aviso opcional.</w:t>
      </w:r>
    </w:p>
    <w:p>
      <w:pPr/>
      <w:r>
        <w:t>• Cada ítem de la lista es un botón navegable: al pulsarlo cierra el panel y navega a la ruta correspondiente (/gastronomy/:id, /culture/:id o /events/:id) según el campo subtipo del ítem (gastro, cultura, evento).</w:t>
      </w:r>
    </w:p>
    <w:p>
      <w:pPr/>
      <w:r>
        <w:t>• Mientras se espera respuesta se muestra un indicador de escritura animado (chatbot__typing). El campo de texto y el botón de envío se deshabilitan durante la carga.</w:t>
      </w:r>
    </w:p>
    <w:p>
      <w:pPr/>
      <w:r>
        <w:t>• El session_id se genera una vez al cargar la aplicación (session-&lt;timestamp&gt;), lo que permite en el futuro mantener el contexto conversacional en la capa de Data Science.</w:t>
      </w:r>
    </w:p>
    <w:p>
      <w:pPr/>
      <w:r>
        <w:t>• Cumple WCAG 2.1 AA: foco gestionado al abrir el panel, aria-live="polite" en el área de mensajes, etiquetas aria-label en todos los controles.</w:t>
      </w:r>
    </w:p>
    <w:p>
      <w:pPr>
        <w:pStyle w:val="Heading3"/>
      </w:pPr>
      <w:r>
        <w:t>3.1.3  Servicio de chat (chat.api.js)</w:t>
      </w:r>
    </w:p>
    <w:p>
      <w:pPr/>
      <w:r>
        <w:t>El módulo src/services/chat.api.js expone la función sendMessage({ message, sessionId }) que realiza un POST a /api/chat con credentials: "include" para enviar la cookie de sesión, lo que permite al backend proxy identificar al usuario autenticado. En caso de error de red o de servidor lanza una excepción que el componente Chatbot captura y muestra como mensaje de error amigable.</w:t>
      </w:r>
    </w:p>
    <w:p>
      <w:pPr>
        <w:pStyle w:val="Heading3"/>
      </w:pPr>
      <w:r>
        <w:t>3.1.4  Panel de administración – Gestión de contenido (AdminComerciosPage.jsx)</w:t>
      </w:r>
    </w:p>
    <w:p>
      <w:pPr/>
      <w:r>
        <w:t>La página /admin/comercios centraliza la gestión de los tres tipos de contenido en una única interfaz con pestañas (Gastronomía, Cultura, Eventos). Características principales:</w:t>
      </w:r>
    </w:p>
    <w:p>
      <w:pPr/>
      <w:r>
        <w:t>• Carga diferida por pestaña: la primera vez que se activa una pestaña se lanza la petición al API correspondiente (getComercio, getCultura, getEventos). Las siguientes visitas usan el estado ya cargado (loadedTabs).</w:t>
      </w:r>
    </w:p>
    <w:p>
      <w:pPr/>
      <w:r>
        <w:t>• Búsqueda en tiempo real por nombre y filtro por categoría (tipo_comida, tipo_lugar o type según la pestaña activa) calculados con useMemo para evitar recálculos innecesarios.</w:t>
      </w:r>
    </w:p>
    <w:p>
      <w:pPr/>
      <w:r>
        <w:t>• Cada ítem muestra: nombre, municipio, badge de estado (Activo/Inactivo), badge de tipo de categoría y badge de Patrocinado (si aplica).</w:t>
      </w:r>
    </w:p>
    <w:p>
      <w:pPr/>
      <w:r>
        <w:t>• Dos toggles de acción por ítem: (1) Activar/Desactivar (campo active) y (2) Patrocinar/Quitar patrocinio (campo is_sponsored). Ambas actualizaciones son optimistas: el estado local se actualiza en cuanto el servidor confirma el cambio.</w:t>
      </w:r>
    </w:p>
    <w:p>
      <w:pPr/>
      <w:r>
        <w:t>• Acceso restringido a rol admin; cualquier usuario sin ese rol es redirigido a la página principal al cargar el componente.</w:t>
      </w:r>
    </w:p>
    <w:p>
      <w:pPr>
        <w:pStyle w:val="Heading2"/>
      </w:pPr>
      <w:r>
        <w:t>3.2  Backend Node.js</w:t>
      </w:r>
    </w:p>
    <w:p>
      <w:pPr>
        <w:pStyle w:val="Heading3"/>
      </w:pPr>
      <w:r>
        <w:t>3.2.1  Proxy del chatbot (chat.routes.js)</w:t>
      </w:r>
    </w:p>
    <w:p>
      <w:pPr/>
      <w:r>
        <w:t>El endpoint POST /api/chat actúa como proxy seguro hacia la API de Data Science:</w:t>
      </w:r>
    </w:p>
    <w:p>
      <w:pPr/>
      <w:r>
        <w:t>• Valida que el cuerpo de la petición contenga el campo message.</w:t>
      </w:r>
    </w:p>
    <w:p>
      <w:pPr/>
      <w:r>
        <w:t>• Intenta leer el JWT de la cookie access_token y decodifica el userId. Si la cookie no existe o el token es inválido el chatbot sigue funcionando sin personalización (silent failure).</w:t>
      </w:r>
    </w:p>
    <w:p>
      <w:pPr/>
      <w:r>
        <w:t>• Reenvía la petición a la URL configurada en ML_API_URL (por defecto http://localhost:5442/api/chat) con un timeout de 15 segundos, adjuntando la cabecera X-User-Id si hay userId.</w:t>
      </w:r>
    </w:p>
    <w:p>
      <w:pPr/>
      <w:r>
        <w:t>• Propaga el código de estado HTTP de la API de DS, devolviendo el error en formato JSON homogéneo.</w:t>
      </w:r>
    </w:p>
    <w:p>
      <w:pPr>
        <w:pStyle w:val="Heading2"/>
      </w:pPr>
      <w:r>
        <w:t>3.3  API de Data Science (DataV2)</w:t>
      </w:r>
    </w:p>
    <w:p>
      <w:pPr>
        <w:pStyle w:val="Heading3"/>
      </w:pPr>
      <w:r>
        <w:t>3.3.1  Detección de intención y ubicación (assistant_logic.py)</w:t>
      </w:r>
    </w:p>
    <w:p>
      <w:pPr/>
      <w:r>
        <w:t>La lógica del asistente se implementa completamente en Python sin depender de un LLM externo, lo que garantiza latencia baja y funcionamiento offline:</w:t>
      </w:r>
    </w:p>
    <w:p>
      <w:pPr/>
      <w:r>
        <w:t>• Detección de intención: se clasifican los mensajes en tres categorías (gastro, cultura, evento) mediante listas de palabras clave expandidas (GASTRO_WORDS, CULTURA_WORDS, EVENTO_WORDS). Si el mensaje contiene palabras de intención general (GENERAL_WORDS) o no coincide con ninguna categoría, se activan las tres simultáneamente.</w:t>
      </w:r>
    </w:p>
    <w:p>
      <w:pPr/>
      <w:r>
        <w:t>• Detección de ubicación: en primer lugar se buscan landmarks con nombre propio (Guggenheim, La Concha, San Mamés…) mapeados a (provincia, municipio). Si no hay landmark, se buscan entre más de 50 ciudades y municipios del País Vasco (CITIES) en euskera y castellano, incluyendo apodos coloquiales (Donosti, Bilbo, Sanse).</w:t>
      </w:r>
    </w:p>
    <w:p>
      <w:pPr/>
      <w:r>
        <w:t>• Consulta con fallback geográfico (_query_with_fallback): intenta filtrar primero por municipio (ILIKE), luego por provincia y finalmente devuelve resultados sin filtro geográfico para garantizar que siempre haya respuesta.</w:t>
      </w:r>
    </w:p>
    <w:p>
      <w:pPr/>
      <w:r>
        <w:t>• Los resultados se ordenan por valoración descendente (gastronomía y cultura) o por fecha ascendente (eventos), y solo se devuelven ítems con active=True.</w:t>
      </w:r>
    </w:p>
    <w:p>
      <w:pPr/>
      <w:r>
        <w:t>• La respuesta se estructura como un objeto ChatResponse (Pydantic) con los campos suggestion (texto), items (lista de Item con item_id, nombre, subtipo, categoria, provincia, estrella_prevista) y aviso.</w:t>
      </w:r>
    </w:p>
    <w:p>
      <w:pPr>
        <w:pStyle w:val="Heading3"/>
      </w:pPr>
      <w:r>
        <w:t>3.3.2  Endpoint del chatbot (app.py)</w:t>
      </w:r>
    </w:p>
    <w:p>
      <w:pPr/>
      <w:r>
        <w:t>La API Flask expone el endpoint POST /api/chat que recibe { message, session_id } en el cuerpo JSON y la cabecera opcional X-User-Id. Invoca manejar_chat_flask() de assistant_logic.py y devuelve la respuesta serializada en el formato estándar { "data": { suggestion, items, aviso } }. Los errores se registran con el módulo logging y se devuelven como { "error": "..." } con código HTTP 500.</w:t>
      </w:r>
    </w:p>
    <w:p>
      <w:pPr/>
      <w:r>
        <w:t>Además del chatbot, la misma API Flask expone los endpoints de contenido utilizados por el frontend: gastronomía (mejor valorados, Michelin/Repsol, entorno especial, cerca de ti), cultura (museos, patrimonio, visita guiada, cerca de ti) y eventos (esta semana, fin de semana, cerca de ti, en euskera).</w:t>
      </w:r>
    </w:p>
    <w:p>
      <w:pPr>
        <w:pStyle w:val="Heading2"/>
      </w:pPr>
      <w:r>
        <w:t>3.4  Seguridad aplicada</w:t>
      </w:r>
    </w:p>
    <w:p>
      <w:pPr/>
      <w:r>
        <w:t>Las medidas de seguridad implementadas en las nuevas funcionalidades son coherentes con las prácticas OWASP definidas en los requerimientos no funcionales:</w:t>
      </w:r>
    </w:p>
    <w:p>
      <w:pPr/>
      <w:r>
        <w:t>• El endpoint del chatbot en el backend Node.js no expone directamente la URL de la API de DS al cliente, evitando que usuarios externos realicen peticiones directas.</w:t>
      </w:r>
    </w:p>
    <w:p>
      <w:pPr/>
      <w:r>
        <w:t>• La lectura del JWT en el proxy del chatbot es silenciosa: un token inválido no genera un error 401 sino que simplemente omite la personalización. Esto evita revelar información de sesión a través del chatbot.</w:t>
      </w:r>
    </w:p>
    <w:p>
      <w:pPr/>
      <w:r>
        <w:t>• El panel de administración valida el rol admin tanto en el cliente (redirección inmediata) como en el servidor (middleware de autenticación en todas las rutas /admin/*).</w:t>
      </w:r>
    </w:p>
    <w:p>
      <w:pPr/>
      <w:r>
        <w:t>• Los toggles de activación y patrocinio pasan por el middleware de autenticación y autorización del backend antes de persistir el cambio en la base de datos.</w:t>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color="d9d9e0" w:space="4" w:sz="4" w:val="single"/>
      </w:pBdr>
      <w:jc w:val="center"/>
      <w:rPr/>
    </w:pPr>
    <w:r w:rsidDel="00000000" w:rsidR="00000000" w:rsidRPr="00000000">
      <w:rPr>
        <w:color w:val="5b5b66"/>
        <w:sz w:val="16"/>
        <w:szCs w:val="16"/>
        <w:rtl w:val="0"/>
      </w:rPr>
      <w:t xml:space="preserve">Página </w:t>
    </w:r>
    <w:r w:rsidDel="00000000" w:rsidR="00000000" w:rsidRPr="00000000">
      <w:rPr>
        <w:color w:val="5b5b6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bottom w:color="d9d9e0" w:space="4" w:sz="4" w:val="single"/>
      </w:pBdr>
      <w:jc w:val="right"/>
      <w:rPr/>
    </w:pPr>
    <w:r w:rsidDel="00000000" w:rsidR="00000000" w:rsidRPr="00000000">
      <w:rPr>
        <w:color w:val="5b5b66"/>
        <w:sz w:val="16"/>
        <w:szCs w:val="16"/>
        <w:rtl w:val="0"/>
      </w:rPr>
      <w:t xml:space="preserve">SustraiApp ·  Memoria técnica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b1f"/>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29366d"/>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5e3d59"/>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7f557b"/>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b1b1f"/>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asier-Medina/SustraiApp"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