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before="800"/>
        <w:jc w:val="center"/>
      </w:pPr>
      <w:r>
        <w:rPr>
          <w:rFonts w:ascii="Big Shoulders Display" w:cs="Big Shoulders Display" w:eastAsia="Big Shoulders Display" w:hAnsi="Big Shoulders Display"/>
          <w:b/>
          <w:bCs/>
          <w:color w:val="2F4B7A"/>
          <w:sz w:val="72"/>
          <w:szCs w:val="72"/>
        </w:rPr>
        <w:t xml:space="preserve">RESPONSIVE UI STANDARDS</w:t>
      </w:r>
    </w:p>
    <w:p>
      <w:pPr>
        <w:spacing w:after="1200" w:before="100"/>
        <w:jc w:val="center"/>
      </w:pPr>
      <w:r>
        <w:rPr>
          <w:rFonts w:ascii="IBM Plex Sans" w:cs="IBM Plex Sans" w:eastAsia="IBM Plex Sans" w:hAnsi="IBM Plex Sans"/>
          <w:color w:val="7A7F87"/>
          <w:sz w:val="28"/>
          <w:szCs w:val="28"/>
        </w:rPr>
        <w:t xml:space="preserve">Design &amp; Development Synergy Guide</w:t>
      </w:r>
    </w:p>
    <w:p>
      <w:pPr>
        <w:spacing w:after="120" w:before="1200"/>
        <w:jc w:val="center"/>
      </w:pPr>
    </w:p>
    <w:p>
      <w:pPr>
        <w:spacing w:after="160" w:before="40" w:line="320"/>
      </w:pPr>
      <w:r>
        <w:rPr>
          <w:rFonts w:ascii="IBM Plex Sans" w:cs="IBM Plex Sans" w:eastAsia="IBM Plex Sans" w:hAnsi="IBM Plex Sans"/>
          <w:b w:val="false"/>
          <w:bCs w:val="false"/>
          <w:color w:val="7A7F87"/>
          <w:sz w:val="20"/>
          <w:szCs w:val="20"/>
        </w:rPr>
        <w:t xml:space="preserve">Version: 1.0.0</w:t>
      </w:r>
    </w:p>
    <w:p>
      <w:pPr>
        <w:spacing w:after="160" w:before="40" w:line="320"/>
      </w:pPr>
      <w:r>
        <w:rPr>
          <w:rFonts w:ascii="IBM Plex Sans" w:cs="IBM Plex Sans" w:eastAsia="IBM Plex Sans" w:hAnsi="IBM Plex Sans"/>
          <w:b w:val="false"/>
          <w:bCs w:val="false"/>
          <w:color w:val="7A7F87"/>
          <w:sz w:val="20"/>
          <w:szCs w:val="20"/>
        </w:rPr>
        <w:t xml:space="preserve">Workspace: UI-Template (Vite + Pug + Tailwind CSS + SCSS)</w:t>
      </w:r>
    </w:p>
    <w:p>
      <w:pPr>
        <w:spacing w:after="160" w:before="40" w:line="320"/>
      </w:pPr>
      <w:r>
        <w:rPr>
          <w:rFonts w:ascii="IBM Plex Sans" w:cs="IBM Plex Sans" w:eastAsia="IBM Plex Sans" w:hAnsi="IBM Plex Sans"/>
          <w:b w:val="false"/>
          <w:bCs w:val="false"/>
          <w:color w:val="7A7F87"/>
          <w:sz w:val="20"/>
          <w:szCs w:val="20"/>
        </w:rPr>
        <w:t xml:space="preserve">Target Audience: Designers &amp; Front-End Developers</w:t>
      </w:r>
    </w:p>
    <w:r>
      <w:br w:type="page"/>
    </w:r>
    <w:p>
      <w:pPr>
        <w:pStyle w:val="Heading1"/>
        <w:spacing w:after="160" w:before="400"/>
      </w:pPr>
      <w:r>
        <w:rPr>
          <w:rFonts w:ascii="Big Shoulders Display" w:cs="Big Shoulders Display" w:eastAsia="Big Shoulders Display" w:hAnsi="Big Shoulders Display"/>
          <w:b/>
          <w:bCs/>
          <w:color w:val="2F4B7A"/>
          <w:sz w:val="36"/>
          <w:szCs w:val="36"/>
        </w:rPr>
        <w:t xml:space="preserve">1. OVERVIEW &amp; COLLABORATION MINDSET</w:t>
      </w:r>
    </w:p>
    <w:p>
      <w:pPr>
        <w:spacing w:after="160" w:before="40" w:line="320"/>
      </w:pPr>
      <w:r>
        <w:rPr>
          <w:rFonts w:ascii="IBM Plex Sans" w:cs="IBM Plex Sans" w:eastAsia="IBM Plex Sans" w:hAnsi="IBM Plex Sans"/>
          <w:b w:val="false"/>
          <w:bCs w:val="false"/>
          <w:color w:val="1B1D1F"/>
          <w:sz w:val="22"/>
          <w:szCs w:val="22"/>
        </w:rPr>
        <w:t xml:space="preserve">Modern web design has shifted away from static, pixel-perfect device mockups. To construct high-fidelity, adaptive digital products, designers and developers must collaborate using fluid layout rules. This document defines the interface standards to ensure responsiveness across all viewport sizes, from small mobile screens to ultra-wide desktop monitors.</w:t>
      </w:r>
    </w:p>
    <w:p>
      <w:pPr>
        <w:pStyle w:val="Heading2"/>
        <w:spacing w:after="120" w:before="240"/>
      </w:pPr>
      <w:r>
        <w:rPr>
          <w:rFonts w:ascii="IBM Plex Sans" w:cs="IBM Plex Sans" w:eastAsia="IBM Plex Sans" w:hAnsi="IBM Plex Sans"/>
          <w:b/>
          <w:bCs/>
          <w:color w:val="4A6FA8"/>
          <w:sz w:val="28"/>
          <w:szCs w:val="28"/>
        </w:rPr>
        <w:t xml:space="preserve">Design for Behavior, Not Pixels</w:t>
      </w:r>
    </w:p>
    <w:p>
      <w:pPr>
        <w:spacing w:after="160" w:before="40" w:line="320"/>
      </w:pPr>
      <w:r>
        <w:rPr>
          <w:rFonts w:ascii="IBM Plex Sans" w:cs="IBM Plex Sans" w:eastAsia="IBM Plex Sans" w:hAnsi="IBM Plex Sans"/>
          <w:b w:val="false"/>
          <w:bCs w:val="false"/>
          <w:color w:val="1B1D1F"/>
          <w:sz w:val="22"/>
          <w:szCs w:val="22"/>
        </w:rPr>
        <w:t xml:space="preserve">Static screens in Figma only depict a single frozen state. When creating responsive designs, specify how components adapt, stretch, collapse, or wrap. Do not design multiple static artboards for minor size deviations; instead, define the flow layout guidelines: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Figma Grids: </w:t>
      </w:r>
      <w:r>
        <w:rPr>
          <w:rFonts w:ascii="IBM Plex Sans" w:cs="IBM Plex Sans" w:eastAsia="IBM Plex Sans" w:hAnsi="IBM Plex Sans"/>
          <w:color w:val="1B1D1F"/>
          <w:sz w:val="22"/>
          <w:szCs w:val="22"/>
        </w:rPr>
        <w:t xml:space="preserve">Use Auto Layout extensively in Figma to mimic CSS Flexbox and Grid layouts.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Resizing Rules: </w:t>
      </w:r>
      <w:r>
        <w:rPr>
          <w:rFonts w:ascii="IBM Plex Sans" w:cs="IBM Plex Sans" w:eastAsia="IBM Plex Sans" w:hAnsi="IBM Plex Sans"/>
          <w:color w:val="1B1D1F"/>
          <w:sz w:val="22"/>
          <w:szCs w:val="22"/>
        </w:rPr>
        <w:t xml:space="preserve">Specify the resizing constraints (Fill Container, Hug Contents, Fixed Width/Height) for every component.</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Interactive States: </w:t>
      </w:r>
      <w:r>
        <w:rPr>
          <w:rFonts w:ascii="IBM Plex Sans" w:cs="IBM Plex Sans" w:eastAsia="IBM Plex Sans" w:hAnsi="IBM Plex Sans"/>
          <w:color w:val="1B1D1F"/>
          <w:sz w:val="22"/>
          <w:szCs w:val="22"/>
        </w:rPr>
        <w:t xml:space="preserve">Clearly define hover, active, focus, disabled, loading, and empty states.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Relative Positioning: </w:t>
      </w:r>
      <w:r>
        <w:rPr>
          <w:rFonts w:ascii="IBM Plex Sans" w:cs="IBM Plex Sans" w:eastAsia="IBM Plex Sans" w:hAnsi="IBM Plex Sans"/>
          <w:color w:val="1B1D1F"/>
          <w:sz w:val="22"/>
          <w:szCs w:val="22"/>
        </w:rPr>
        <w:t xml:space="preserve">Avoid exact pixel positioning; design elements relative to their logical containers.</w:t>
      </w:r>
    </w:p>
    <w:p>
      <w:pPr>
        <w:pStyle w:val="Heading2"/>
        <w:spacing w:after="120" w:before="240"/>
      </w:pPr>
      <w:r>
        <w:rPr>
          <w:rFonts w:ascii="IBM Plex Sans" w:cs="IBM Plex Sans" w:eastAsia="IBM Plex Sans" w:hAnsi="IBM Plex Sans"/>
          <w:b/>
          <w:bCs/>
          <w:color w:val="4A6FA8"/>
          <w:sz w:val="28"/>
          <w:szCs w:val="28"/>
        </w:rPr>
        <w:t xml:space="preserve">The Handoff Paradigm</w:t>
      </w:r>
    </w:p>
    <w:p>
      <w:pPr>
        <w:spacing w:after="160" w:before="40" w:line="320"/>
      </w:pPr>
      <w:r>
        <w:rPr>
          <w:rFonts w:ascii="IBM Plex Sans" w:cs="IBM Plex Sans" w:eastAsia="IBM Plex Sans" w:hAnsi="IBM Plex Sans"/>
          <w:b w:val="false"/>
          <w:bCs w:val="false"/>
          <w:color w:val="1B1D1F"/>
          <w:sz w:val="22"/>
          <w:szCs w:val="22"/>
        </w:rPr>
        <w:t xml:space="preserve">The designer-developer handoff is not a file dump, but a collaborative sync. Designers should walkthrough components' behavior with developers. Developers should review design mockups early to flag potential layout complexities before writing code.</w:t>
      </w:r>
    </w:p>
    <w:r>
      <w:br w:type="page"/>
    </w:r>
    <w:p>
      <w:pPr>
        <w:pStyle w:val="Heading1"/>
        <w:spacing w:after="160" w:before="400"/>
      </w:pPr>
      <w:r>
        <w:rPr>
          <w:rFonts w:ascii="Big Shoulders Display" w:cs="Big Shoulders Display" w:eastAsia="Big Shoulders Display" w:hAnsi="Big Shoulders Display"/>
          <w:b/>
          <w:bCs/>
          <w:color w:val="2F4B7A"/>
          <w:sz w:val="36"/>
          <w:szCs w:val="36"/>
        </w:rPr>
        <w:t xml:space="preserve">2. LAYOUT BREAKPOINTS</w:t>
      </w:r>
    </w:p>
    <w:p>
      <w:pPr>
        <w:spacing w:after="160" w:before="40" w:line="320"/>
      </w:pPr>
      <w:r>
        <w:rPr>
          <w:rFonts w:ascii="IBM Plex Sans" w:cs="IBM Plex Sans" w:eastAsia="IBM Plex Sans" w:hAnsi="IBM Plex Sans"/>
          <w:b w:val="false"/>
          <w:bCs w:val="false"/>
          <w:color w:val="1B1D1F"/>
          <w:sz w:val="22"/>
          <w:szCs w:val="22"/>
        </w:rPr>
        <w:t xml:space="preserve">To divide interface states logically while keeping CSS overrides clean, this workspace uses five standardized layout breakpoints. These are configured directly in tailwind.config.js and tailwind.fluid.js:</w:t>
      </w:r>
    </w:p>
    <w:tbl>
      <w:tblPr>
        <w:tblW w:type="pct" w:w="100%"/>
        <w:tblBorders>
          <w:top w:val="single" w:color="C7C2B5" w:sz="4"/>
          <w:left w:val="single" w:color="C7C2B5" w:sz="4"/>
          <w:bottom w:val="single" w:color="C7C2B5" w:sz="4"/>
          <w:right w:val="single" w:color="C7C2B5" w:sz="4"/>
          <w:insideH w:val="single" w:color="C7C2B5" w:sz="4"/>
          <w:insideV w:val="single" w:color="C7C2B5" w:sz="4"/>
        </w:tblBorders>
      </w:tblPr>
      <w:tblGrid>
        <w:gridCol w:w="100"/>
        <w:gridCol w:w="100"/>
        <w:gridCol w:w="100"/>
        <w:gridCol w:w="100"/>
      </w:tblGrid>
      <w:tr>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Breakpoint</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Media Query Screen Width</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Target Devices</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Layout Behavior Guidelines</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mobile</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 639px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Portrait Phones, Small Handhelds</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Single-column stack. Sticky navigation collapses to burger. Padding is reduced to minimum (xs/sm).</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tablet</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 640px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Landscape Phones, Portrait Tablets</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Multi-column configurations (2 columns). Text scales up. Grids adapt.</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laptop</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 1024px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Landscape Tablets, Small Laptops</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Full desktop navigation triggers. Sidebar layouts activate. Media frames utilize fluid aspect ratios.</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desktop</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 1440px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Standard Desktop Monitors, Pro Laptops</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Main container width caps (max-width limits). Grid system spans up to 4 columns.</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wide</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 1536px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Ultra-wide Displays, 4K Screens</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Generous whitespace. Text sizing capped at maximum limits. Hero content sits within reading-length limits.</w:t>
            </w:r>
          </w:p>
        </w:tc>
      </w:tr>
    </w:tbl>
    <w:p>
      <w:pPr>
        <w:spacing w:before="200"/>
      </w:pPr>
    </w:p>
    <w:p>
      <w:pPr>
        <w:pStyle w:val="Heading2"/>
        <w:spacing w:after="120" w:before="240"/>
      </w:pPr>
      <w:r>
        <w:rPr>
          <w:rFonts w:ascii="IBM Plex Sans" w:cs="IBM Plex Sans" w:eastAsia="IBM Plex Sans" w:hAnsi="IBM Plex Sans"/>
          <w:b/>
          <w:bCs/>
          <w:color w:val="4A6FA8"/>
          <w:sz w:val="28"/>
          <w:szCs w:val="28"/>
        </w:rPr>
        <w:t xml:space="preserve">Core Responsiveness Rules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Continuity: </w:t>
      </w:r>
      <w:r>
        <w:rPr>
          <w:rFonts w:ascii="IBM Plex Sans" w:cs="IBM Plex Sans" w:eastAsia="IBM Plex Sans" w:hAnsi="IBM Plex Sans"/>
          <w:color w:val="1B1D1F"/>
          <w:sz w:val="22"/>
          <w:szCs w:val="22"/>
        </w:rPr>
        <w:t xml:space="preserve">Avoid designing custom styles for arbitrary device sizes (e.g., exactly 768px or 375px). Build interfaces that adapt continuously between the main breakpoints.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Mobile First: </w:t>
      </w:r>
      <w:r>
        <w:rPr>
          <w:rFonts w:ascii="IBM Plex Sans" w:cs="IBM Plex Sans" w:eastAsia="IBM Plex Sans" w:hAnsi="IBM Plex Sans"/>
          <w:color w:val="1B1D1F"/>
          <w:sz w:val="22"/>
          <w:szCs w:val="22"/>
        </w:rPr>
        <w:t xml:space="preserve">Always design mobile first or consider mobile constraints early. Simplification is easier to scale up than complexity is to cram down.</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Flexibility: </w:t>
      </w:r>
      <w:r>
        <w:rPr>
          <w:rFonts w:ascii="IBM Plex Sans" w:cs="IBM Plex Sans" w:eastAsia="IBM Plex Sans" w:hAnsi="IBM Plex Sans"/>
          <w:color w:val="1B1D1F"/>
          <w:sz w:val="22"/>
          <w:szCs w:val="22"/>
        </w:rPr>
        <w:t xml:space="preserve">Place components in flexible wrapping containers. Use CSS Grid for grids and Flexbox for row/column components.</w:t>
      </w:r>
    </w:p>
    <w:r>
      <w:br w:type="page"/>
    </w:r>
    <w:p>
      <w:pPr>
        <w:pStyle w:val="Heading1"/>
        <w:spacing w:after="160" w:before="400"/>
      </w:pPr>
      <w:r>
        <w:rPr>
          <w:rFonts w:ascii="Big Shoulders Display" w:cs="Big Shoulders Display" w:eastAsia="Big Shoulders Display" w:hAnsi="Big Shoulders Display"/>
          <w:b/>
          <w:bCs/>
          <w:color w:val="2F4B7A"/>
          <w:sz w:val="36"/>
          <w:szCs w:val="36"/>
        </w:rPr>
        <w:t xml:space="preserve">3. FLUID TYPOGRAPHY SYSTEM</w:t>
      </w:r>
    </w:p>
    <w:p>
      <w:pPr>
        <w:spacing w:after="160" w:before="40" w:line="320"/>
      </w:pPr>
      <w:r>
        <w:rPr>
          <w:rFonts w:ascii="IBM Plex Sans" w:cs="IBM Plex Sans" w:eastAsia="IBM Plex Sans" w:hAnsi="IBM Plex Sans"/>
          <w:b w:val="false"/>
          <w:bCs w:val="false"/>
          <w:color w:val="1B1D1F"/>
          <w:sz w:val="22"/>
          <w:szCs w:val="22"/>
        </w:rPr>
        <w:t xml:space="preserve">Instead of applying abrupt styling changes at every breakpoint, this workspace implements a fluid typography system. Font sizes scale smoothly and linearly from a minimum viewport width to a maximum viewport width using the CSS clamp() function.</w:t>
      </w:r>
    </w:p>
    <w:p>
      <w:pPr>
        <w:pStyle w:val="Heading2"/>
        <w:spacing w:after="120" w:before="240"/>
      </w:pPr>
      <w:r>
        <w:rPr>
          <w:rFonts w:ascii="IBM Plex Sans" w:cs="IBM Plex Sans" w:eastAsia="IBM Plex Sans" w:hAnsi="IBM Plex Sans"/>
          <w:b/>
          <w:bCs/>
          <w:color w:val="4A6FA8"/>
          <w:sz w:val="28"/>
          <w:szCs w:val="28"/>
        </w:rPr>
        <w:t xml:space="preserve">The Clamp Interpolation Formula</w:t>
      </w:r>
    </w:p>
    <w:p>
      <w:pPr>
        <w:spacing w:after="160" w:before="40" w:line="320"/>
      </w:pPr>
      <w:r>
        <w:rPr>
          <w:rFonts w:ascii="IBM Plex Sans" w:cs="IBM Plex Sans" w:eastAsia="IBM Plex Sans" w:hAnsi="IBM Plex Sans"/>
          <w:b w:val="false"/>
          <w:bCs w:val="false"/>
          <w:color w:val="1B1D1F"/>
          <w:sz w:val="22"/>
          <w:szCs w:val="22"/>
        </w:rPr>
        <w:t xml:space="preserve">Our fluid spacing and typography calculations scale between a viewport of 320px (20rem) and 1200px (75rem). Below 320px, font sizes freeze at their minimum configuration to prevent clipping. Above 1200px, they cap at their maximum configurations to prevent oversized elements on large displays. The linear scaling equation is:</w:t>
      </w:r>
    </w:p>
    <w:tbl>
      <w:tblPr>
        <w:tblW w:type="pct" w:w="100%"/>
        <w:tblBorders>
          <w:top w:val="single" w:color="C7C2B5" w:sz="4"/>
          <w:left w:val="single" w:color="4A6FA8" w:sz="12"/>
          <w:bottom w:val="single" w:color="C7C2B5" w:sz="4"/>
          <w:right w:val="single" w:color="C7C2B5" w:sz="4"/>
          <w:insideH w:val="single" w:color="auto" w:sz="4"/>
          <w:insideV w:val="single" w:color="auto" w:sz="4"/>
        </w:tblBorders>
      </w:tblPr>
      <w:tblGrid>
        <w:gridCol w:w="100"/>
      </w:tblGrid>
      <w:tr>
        <w:tc>
          <w:tcPr>
            <w:shd w:fill="F4F2EB"/>
            <w:tcMar>
              <w:top w:type="dxa" w:w="120"/>
              <w:left w:type="dxa" w:w="160"/>
              <w:bottom w:type="dxa" w:w="120"/>
              <w:right w:type="dxa" w:w="160"/>
            </w:tcMar>
          </w:tcPr>
          <w:p>
            <w:pPr>
              <w:spacing w:after="0" w:before="0" w:line="240"/>
            </w:pPr>
            <w:r>
              <w:rPr>
                <w:rFonts w:ascii="IBM Plex Mono" w:cs="IBM Plex Mono" w:eastAsia="IBM Plex Mono" w:hAnsi="IBM Plex Mono"/>
                <w:color w:val="1B1D1F"/>
                <w:sz w:val="18"/>
                <w:szCs w:val="18"/>
              </w:rPr>
              <w:t xml:space="preserve">clamp(MIN_SIZE, calc(MIN_SIZE + (MAX_SIZE - MIN_SIZE) * ((100vw - 20rem) / 55rem)), MAX_SIZE)</w:t>
            </w:r>
          </w:p>
        </w:tc>
      </w:tr>
    </w:tbl>
    <w:p>
      <w:pPr>
        <w:spacing w:after="160" w:before="40" w:line="320"/>
      </w:pPr>
      <w:r>
        <w:rPr>
          <w:rFonts w:ascii="IBM Plex Sans" w:cs="IBM Plex Sans" w:eastAsia="IBM Plex Sans" w:hAnsi="IBM Plex Sans"/>
          <w:b w:val="false"/>
          <w:bCs w:val="false"/>
          <w:color w:val="1B1D1F"/>
          <w:sz w:val="22"/>
          <w:szCs w:val="22"/>
        </w:rPr>
        <w:t xml:space="preserve">This mathematical scaling ensures that headers and body copy adjust perfectly to any screen width without requiring media queries.</w:t>
      </w:r>
    </w:p>
    <w:p>
      <w:pPr>
        <w:pStyle w:val="Heading2"/>
        <w:spacing w:after="120" w:before="240"/>
      </w:pPr>
      <w:r>
        <w:rPr>
          <w:rFonts w:ascii="IBM Plex Sans" w:cs="IBM Plex Sans" w:eastAsia="IBM Plex Sans" w:hAnsi="IBM Plex Sans"/>
          <w:b/>
          <w:bCs/>
          <w:color w:val="4A6FA8"/>
          <w:sz w:val="28"/>
          <w:szCs w:val="28"/>
        </w:rPr>
        <w:t xml:space="preserve">Typography Scale Directory</w:t>
      </w:r>
    </w:p>
    <w:tbl>
      <w:tblPr>
        <w:tblW w:type="pct" w:w="100%"/>
        <w:tblBorders>
          <w:top w:val="single" w:color="C7C2B5" w:sz="4"/>
          <w:left w:val="single" w:color="C7C2B5" w:sz="4"/>
          <w:bottom w:val="single" w:color="C7C2B5" w:sz="4"/>
          <w:right w:val="single" w:color="C7C2B5" w:sz="4"/>
          <w:insideH w:val="single" w:color="C7C2B5" w:sz="4"/>
          <w:insideV w:val="single" w:color="C7C2B5" w:sz="4"/>
        </w:tblBorders>
      </w:tblPr>
      <w:tblGrid>
        <w:gridCol w:w="100"/>
        <w:gridCol w:w="100"/>
        <w:gridCol w:w="100"/>
        <w:gridCol w:w="100"/>
        <w:gridCol w:w="100"/>
      </w:tblGrid>
      <w:tr>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Token Key</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Font Family / Weight</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Min Size (≤320px)</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Max Size (≥1200px)</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Clamp Preferred Expression</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display-xl</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Big Shoulders Display / 800</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2.75rem (44px)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6.0rem (96px)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2rem + 4vw</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display-lg</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Big Shoulders Display / 700</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2.0rem (32px)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3.5rem (56px)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1.5rem + 2.5vw</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h1</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Big Shoulders Display / 700</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1.75rem (28px)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2.75rem (44px)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1.5rem + 1.8vw</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h2</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Big Shoulders Display / 700</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1.5rem (24px)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2.25rem (36px)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1.25rem + 1.2vw</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h3</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IBM Plex Sans / 600</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1.125rem (18px)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1.5rem (24px)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1rem + 0.5vw</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h4</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IBM Plex Sans / 600</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1.0rem (16px)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1.25rem (20px)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0.95rem + 0.35vw</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h5</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IBM Plex Sans / 600</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0.9375rem (15px)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1.0625rem (17px)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0.9rem + 0.2vw</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h6</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IBM Plex Sans / 600</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0.875rem (14px)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1.0rem (16px)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0.85rem + 0.15vw</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body-lg</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IBM Plex Sans / 400</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1.0625rem (17px)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1.25rem (20px)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1rem + 0.3vw</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body</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IBM Plex Sans / 400</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1.0rem (16px)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1.125rem (18px)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0.95rem + 0.2vw</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small</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IBM Plex Sans / 400</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0.8125rem (13px)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0.9375rem (15px)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0.8rem + 0.1vw</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mono</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IBM Plex Mono / 500</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0.75rem (12px)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0.875rem (14px)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0.7rem + 0.1vw</w:t>
            </w:r>
          </w:p>
        </w:tc>
      </w:tr>
    </w:tbl>
    <w:r>
      <w:br w:type="page"/>
    </w:r>
    <w:p>
      <w:pPr>
        <w:pStyle w:val="Heading1"/>
        <w:spacing w:after="160" w:before="400"/>
      </w:pPr>
      <w:r>
        <w:rPr>
          <w:rFonts w:ascii="Big Shoulders Display" w:cs="Big Shoulders Display" w:eastAsia="Big Shoulders Display" w:hAnsi="Big Shoulders Display"/>
          <w:b/>
          <w:bCs/>
          <w:color w:val="2F4B7A"/>
          <w:sz w:val="36"/>
          <w:szCs w:val="36"/>
        </w:rPr>
        <w:t xml:space="preserve">4. FLUID SPACING &amp; BORDER RADIUS</w:t>
      </w:r>
    </w:p>
    <w:p>
      <w:pPr>
        <w:spacing w:after="160" w:before="40" w:line="320"/>
      </w:pPr>
      <w:r>
        <w:rPr>
          <w:rFonts w:ascii="IBM Plex Sans" w:cs="IBM Plex Sans" w:eastAsia="IBM Plex Sans" w:hAnsi="IBM Plex Sans"/>
          <w:b w:val="false"/>
          <w:bCs w:val="false"/>
          <w:color w:val="1B1D1F"/>
          <w:sz w:val="22"/>
          <w:szCs w:val="22"/>
        </w:rPr>
        <w:t xml:space="preserve">Layout paddings, margins, gaps, and border-radii also scale dynamically. By scaling space proportionally with screen width, margins stay narrow on mobile and automatically expand on desktop, preserving structural density across all sizes.</w:t>
      </w:r>
    </w:p>
    <w:p>
      <w:pPr>
        <w:pStyle w:val="Heading2"/>
        <w:spacing w:after="120" w:before="240"/>
      </w:pPr>
      <w:r>
        <w:rPr>
          <w:rFonts w:ascii="IBM Plex Sans" w:cs="IBM Plex Sans" w:eastAsia="IBM Plex Sans" w:hAnsi="IBM Plex Sans"/>
          <w:b/>
          <w:bCs/>
          <w:color w:val="4A6FA8"/>
          <w:sz w:val="28"/>
          <w:szCs w:val="28"/>
        </w:rPr>
        <w:t xml:space="preserve">Fluid Spacing Scale (XS to XL)</w:t>
      </w:r>
    </w:p>
    <w:tbl>
      <w:tblPr>
        <w:tblW w:type="pct" w:w="100%"/>
        <w:tblBorders>
          <w:top w:val="single" w:color="C7C2B5" w:sz="4"/>
          <w:left w:val="single" w:color="C7C2B5" w:sz="4"/>
          <w:bottom w:val="single" w:color="C7C2B5" w:sz="4"/>
          <w:right w:val="single" w:color="C7C2B5" w:sz="4"/>
          <w:insideH w:val="single" w:color="C7C2B5" w:sz="4"/>
          <w:insideV w:val="single" w:color="C7C2B5" w:sz="4"/>
        </w:tblBorders>
      </w:tblPr>
      <w:tblGrid>
        <w:gridCol w:w="100"/>
        <w:gridCol w:w="100"/>
        <w:gridCol w:w="100"/>
        <w:gridCol w:w="100"/>
        <w:gridCol w:w="100"/>
      </w:tblGrid>
      <w:tr>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Spacing Token</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Min Size (≤320px)</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Max Size (≥1200px)</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Clamp Preferred Expression</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Typical Layout Applications</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xs</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0.5rem (8px)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0.75rem (12px)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0.4rem + 0.5vw</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Tight items spacing, secondary badges gap, small icon label offset.</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sm</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0.75rem (12px)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1.25rem (20px)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0.6rem + 0.8vw</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Button padding, text block gaps, small component cards padding.</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md</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1.0rem (16px)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1.75rem (28px)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0.75rem + 1.2vw</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Standard section grids, container side padding, primary card margins.</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lg</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1.5rem (24px)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2.5rem (40px)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1rem + 2vw</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Major page segment gaps, vertical section separation, form grid rows.</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xl</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2.0rem (32px)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3.5rem (56px)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1.25rem + 3vw</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Hero margins, massive content divisions, splash banner spacing.</w:t>
            </w:r>
          </w:p>
        </w:tc>
      </w:tr>
    </w:tbl>
    <w:p>
      <w:pPr>
        <w:spacing w:before="200"/>
      </w:pPr>
    </w:p>
    <w:p>
      <w:pPr>
        <w:pStyle w:val="Heading2"/>
        <w:spacing w:after="120" w:before="240"/>
      </w:pPr>
      <w:r>
        <w:rPr>
          <w:rFonts w:ascii="IBM Plex Sans" w:cs="IBM Plex Sans" w:eastAsia="IBM Plex Sans" w:hAnsi="IBM Plex Sans"/>
          <w:b/>
          <w:bCs/>
          <w:color w:val="4A6FA8"/>
          <w:sz w:val="28"/>
          <w:szCs w:val="28"/>
        </w:rPr>
        <w:t xml:space="preserve">Fluid Border Radius Scale (SM to XL)</w:t>
      </w:r>
    </w:p>
    <w:tbl>
      <w:tblPr>
        <w:tblW w:type="pct" w:w="100%"/>
        <w:tblBorders>
          <w:top w:val="single" w:color="C7C2B5" w:sz="4"/>
          <w:left w:val="single" w:color="C7C2B5" w:sz="4"/>
          <w:bottom w:val="single" w:color="C7C2B5" w:sz="4"/>
          <w:right w:val="single" w:color="C7C2B5" w:sz="4"/>
          <w:insideH w:val="single" w:color="C7C2B5" w:sz="4"/>
          <w:insideV w:val="single" w:color="C7C2B5" w:sz="4"/>
        </w:tblBorders>
      </w:tblPr>
      <w:tblGrid>
        <w:gridCol w:w="100"/>
        <w:gridCol w:w="100"/>
        <w:gridCol w:w="100"/>
        <w:gridCol w:w="100"/>
        <w:gridCol w:w="100"/>
      </w:tblGrid>
      <w:tr>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Radius Token</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Min Radius (≤320px)</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Max Radius (≥1200px)</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Clamp Preferred Expression</w:t>
            </w:r>
          </w:p>
        </w:tc>
        <w:tc>
          <w:tcPr>
            <w:shd w:fill="2F4B7A"/>
            <w:tcMar>
              <w:top w:type="dxa" w:w="120"/>
              <w:left w:type="dxa" w:w="140"/>
              <w:bottom w:type="dxa" w:w="120"/>
              <w:right w:type="dxa" w:w="140"/>
            </w:tcMar>
          </w:tcPr>
          <w:p>
            <w:pPr>
              <w:jc w:val="center"/>
            </w:pPr>
            <w:r>
              <w:rPr>
                <w:rFonts w:ascii="IBM Plex Sans" w:cs="IBM Plex Sans" w:eastAsia="IBM Plex Sans" w:hAnsi="IBM Plex Sans"/>
                <w:b/>
                <w:bCs/>
                <w:color w:val="FFFFFF"/>
                <w:sz w:val="20"/>
                <w:szCs w:val="20"/>
              </w:rPr>
              <w:t xml:space="preserve">Typical Application</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sm</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0.125rem (2px)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0.375rem (6px)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0.1rem + 0.3vw</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Small inputs, tag pills, small buttons.</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md</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0.25rem (4px)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0.75rem (12px)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0.15rem + 0.5vw</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Standard component cards, primary buttons, dialog containers.</w:t>
            </w:r>
          </w:p>
        </w:tc>
      </w:tr>
      <w:tr>
        <w:tc>
          <w:tcPr>
            <w:shd w:fill="FFFFFF"/>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lg</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0.5rem (8px)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1.25rem (20px)</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0.3rem + 0.8vw</w:t>
            </w:r>
          </w:p>
        </w:tc>
        <w:tc>
          <w:tcPr>
            <w:shd w:fill="FFFFFF"/>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Large visual sections, image thumbnails, header boxes.</w:t>
            </w:r>
          </w:p>
        </w:tc>
      </w:tr>
      <w:tr>
        <w:tc>
          <w:tcPr>
            <w:shd w:fill="F4F2EB"/>
            <w:tcMar>
              <w:top w:type="dxa" w:w="100"/>
              <w:left w:type="dxa" w:w="140"/>
              <w:bottom w:type="dxa" w:w="100"/>
              <w:right w:type="dxa" w:w="140"/>
            </w:tcMar>
          </w:tcPr>
          <w:p>
            <w:pPr>
              <w:jc w:val="left"/>
            </w:pPr>
            <w:r>
              <w:rPr>
                <w:rFonts w:ascii="IBM Plex Mono" w:cs="IBM Plex Mono" w:eastAsia="IBM Plex Mono" w:hAnsi="IBM Plex Mono"/>
                <w:b/>
                <w:bCs/>
                <w:color w:val="1B1D1F"/>
                <w:sz w:val="20"/>
                <w:szCs w:val="20"/>
              </w:rPr>
              <w:t xml:space="preserve">xl</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0.75rem (12px)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1.75rem (28px)</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0.4rem + 1.2vw</w:t>
            </w:r>
          </w:p>
        </w:tc>
        <w:tc>
          <w:tcPr>
            <w:shd w:fill="F4F2EB"/>
            <w:tcMar>
              <w:top w:type="dxa" w:w="100"/>
              <w:left w:type="dxa" w:w="140"/>
              <w:bottom w:type="dxa" w:w="100"/>
              <w:right w:type="dxa" w:w="140"/>
            </w:tcMar>
          </w:tcPr>
          <w:p>
            <w:pPr>
              <w:jc w:val="center"/>
            </w:pPr>
            <w:r>
              <w:rPr>
                <w:rFonts w:ascii="IBM Plex Sans" w:cs="IBM Plex Sans" w:eastAsia="IBM Plex Sans" w:hAnsi="IBM Plex Sans"/>
                <w:b w:val="false"/>
                <w:bCs w:val="false"/>
                <w:color w:val="1B1D1F"/>
                <w:sz w:val="20"/>
                <w:szCs w:val="20"/>
              </w:rPr>
              <w:t xml:space="preserve">Outer modal card frames, parallax banner borders.</w:t>
            </w:r>
          </w:p>
        </w:tc>
      </w:tr>
    </w:tbl>
    <w:r>
      <w:br w:type="page"/>
    </w:r>
    <w:p>
      <w:pPr>
        <w:pStyle w:val="Heading1"/>
        <w:spacing w:after="160" w:before="400"/>
      </w:pPr>
      <w:r>
        <w:rPr>
          <w:rFonts w:ascii="Big Shoulders Display" w:cs="Big Shoulders Display" w:eastAsia="Big Shoulders Display" w:hAnsi="Big Shoulders Display"/>
          <w:b/>
          <w:bCs/>
          <w:color w:val="2F4B7A"/>
          <w:sz w:val="36"/>
          <w:szCs w:val="36"/>
        </w:rPr>
        <w:t xml:space="preserve">5. RESPONSIVE COMPONENTS &amp; ASSET STRATEGY</w:t>
      </w:r>
    </w:p>
    <w:p>
      <w:pPr>
        <w:spacing w:after="160" w:before="40" w:line="320"/>
      </w:pPr>
      <w:r>
        <w:rPr>
          <w:rFonts w:ascii="IBM Plex Sans" w:cs="IBM Plex Sans" w:eastAsia="IBM Plex Sans" w:hAnsi="IBM Plex Sans"/>
          <w:b w:val="false"/>
          <w:bCs w:val="false"/>
          <w:color w:val="1B1D1F"/>
          <w:sz w:val="22"/>
          <w:szCs w:val="22"/>
        </w:rPr>
        <w:t xml:space="preserve">Layout adjustments must be supported by responsive media frames. This avoids distortion and reduces loading weights on mobile devices.</w:t>
      </w:r>
    </w:p>
    <w:p>
      <w:pPr>
        <w:pStyle w:val="Heading2"/>
        <w:spacing w:after="120" w:before="240"/>
      </w:pPr>
      <w:r>
        <w:rPr>
          <w:rFonts w:ascii="IBM Plex Sans" w:cs="IBM Plex Sans" w:eastAsia="IBM Plex Sans" w:hAnsi="IBM Plex Sans"/>
          <w:b/>
          <w:bCs/>
          <w:color w:val="4A6FA8"/>
          <w:sz w:val="28"/>
          <w:szCs w:val="28"/>
        </w:rPr>
        <w:t xml:space="preserve">Fluid Aspect Ratios</w:t>
      </w:r>
    </w:p>
    <w:p>
      <w:pPr>
        <w:spacing w:after="160" w:before="40" w:line="320"/>
      </w:pPr>
      <w:r>
        <w:rPr>
          <w:rFonts w:ascii="IBM Plex Sans" w:cs="IBM Plex Sans" w:eastAsia="IBM Plex Sans" w:hAnsi="IBM Plex Sans"/>
          <w:b w:val="false"/>
          <w:bCs w:val="false"/>
          <w:color w:val="1B1D1F"/>
          <w:sz w:val="22"/>
          <w:szCs w:val="22"/>
        </w:rPr>
        <w:t xml:space="preserve">In our project, images are defined with shifting aspect ratios to fit horizontal screens on desktop and vertical screens on mobile. Key configurations include:</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hero: </w:t>
      </w:r>
      <w:r>
        <w:rPr>
          <w:rFonts w:ascii="IBM Plex Sans" w:cs="IBM Plex Sans" w:eastAsia="IBM Plex Sans" w:hAnsi="IBM Plex Sans"/>
          <w:color w:val="1B1D1F"/>
          <w:sz w:val="22"/>
          <w:szCs w:val="22"/>
        </w:rPr>
        <w:t xml:space="preserve">Transitions from 4:3 on mobile displays to 16:11 on laptop and desktop screens.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card: </w:t>
      </w:r>
      <w:r>
        <w:rPr>
          <w:rFonts w:ascii="IBM Plex Sans" w:cs="IBM Plex Sans" w:eastAsia="IBM Plex Sans" w:hAnsi="IBM Plex Sans"/>
          <w:color w:val="1B1D1F"/>
          <w:sz w:val="22"/>
          <w:szCs w:val="22"/>
        </w:rPr>
        <w:t xml:space="preserve">Transitions from 1:1 (square) on mobile to 16:10 (rectangular) on desktop to adapt to grid columns.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stage / billboard: </w:t>
      </w:r>
      <w:r>
        <w:rPr>
          <w:rFonts w:ascii="IBM Plex Sans" w:cs="IBM Plex Sans" w:eastAsia="IBM Plex Sans" w:hAnsi="IBM Plex Sans"/>
          <w:color w:val="1B1D1F"/>
          <w:sz w:val="22"/>
          <w:szCs w:val="22"/>
        </w:rPr>
        <w:t xml:space="preserve">Stage &amp; Billboard: Fluid frame layouts for laptop and larger displays that expand to show parallax elements.</w:t>
      </w:r>
    </w:p>
    <w:p>
      <w:pPr>
        <w:pStyle w:val="Heading2"/>
        <w:spacing w:after="120" w:before="240"/>
      </w:pPr>
      <w:r>
        <w:rPr>
          <w:rFonts w:ascii="IBM Plex Sans" w:cs="IBM Plex Sans" w:eastAsia="IBM Plex Sans" w:hAnsi="IBM Plex Sans"/>
          <w:b/>
          <w:bCs/>
          <w:color w:val="4A6FA8"/>
          <w:sz w:val="28"/>
          <w:szCs w:val="28"/>
        </w:rPr>
        <w:t xml:space="preserve">The Full-Bleed Pattern</w:t>
      </w:r>
    </w:p>
    <w:p>
      <w:pPr>
        <w:spacing w:after="160" w:before="40" w:line="320"/>
      </w:pPr>
      <w:r>
        <w:rPr>
          <w:rFonts w:ascii="IBM Plex Sans" w:cs="IBM Plex Sans" w:eastAsia="IBM Plex Sans" w:hAnsi="IBM Plex Sans"/>
          <w:b w:val="false"/>
          <w:bCs w:val="false"/>
          <w:color w:val="1B1D1F"/>
          <w:sz w:val="22"/>
          <w:szCs w:val="22"/>
        </w:rPr>
        <w:t xml:space="preserve">Full-bleed layouts require elements to extend from edge to edge of the viewport. Many developers use width: 100vw, which causes horizontal scroll issues on Windows due to the scrollbar occupying width. To resolve this, follow our custom full-bleed pattern:</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Rule 1: </w:t>
      </w:r>
      <w:r>
        <w:rPr>
          <w:rFonts w:ascii="IBM Plex Sans" w:cs="IBM Plex Sans" w:eastAsia="IBM Plex Sans" w:hAnsi="IBM Plex Sans"/>
          <w:color w:val="1B1D1F"/>
          <w:sz w:val="22"/>
          <w:szCs w:val="22"/>
        </w:rPr>
        <w:t xml:space="preserve">Never use width: 100vw for background layouts.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Rule 2: </w:t>
      </w:r>
      <w:r>
        <w:rPr>
          <w:rFonts w:ascii="IBM Plex Sans" w:cs="IBM Plex Sans" w:eastAsia="IBM Plex Sans" w:hAnsi="IBM Plex Sans"/>
          <w:color w:val="1B1D1F"/>
          <w:sz w:val="22"/>
          <w:szCs w:val="22"/>
        </w:rPr>
        <w:t xml:space="preserve">Place full-bleed wrappers (.ui-media-bleed) completely outside of max-width wrapping grids.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Rule 3: </w:t>
      </w:r>
      <w:r>
        <w:rPr>
          <w:rFonts w:ascii="IBM Plex Sans" w:cs="IBM Plex Sans" w:eastAsia="IBM Plex Sans" w:hAnsi="IBM Plex Sans"/>
          <w:color w:val="1B1D1F"/>
          <w:sz w:val="22"/>
          <w:szCs w:val="22"/>
        </w:rPr>
        <w:t xml:space="preserve">Apply the wrapper containing background elements directly inside the body container or unconstrained sections.</w:t>
      </w:r>
    </w:p>
    <w:p>
      <w:pPr>
        <w:pStyle w:val="Heading2"/>
        <w:spacing w:after="120" w:before="240"/>
      </w:pPr>
      <w:r>
        <w:rPr>
          <w:rFonts w:ascii="IBM Plex Sans" w:cs="IBM Plex Sans" w:eastAsia="IBM Plex Sans" w:hAnsi="IBM Plex Sans"/>
          <w:b/>
          <w:bCs/>
          <w:color w:val="4A6FA8"/>
          <w:sz w:val="28"/>
          <w:szCs w:val="28"/>
        </w:rPr>
        <w:t xml:space="preserve">The Parallax System (+uiParallax)</w:t>
      </w:r>
    </w:p>
    <w:p>
      <w:pPr>
        <w:spacing w:after="160" w:before="40" w:line="320"/>
      </w:pPr>
      <w:r>
        <w:rPr>
          <w:rFonts w:ascii="IBM Plex Sans" w:cs="IBM Plex Sans" w:eastAsia="IBM Plex Sans" w:hAnsi="IBM Plex Sans"/>
          <w:b w:val="false"/>
          <w:bCs w:val="false"/>
          <w:color w:val="1B1D1F"/>
          <w:sz w:val="22"/>
          <w:szCs w:val="22"/>
        </w:rPr>
        <w:t xml:space="preserve">When building animated parallax sections (+uiParallax), ensure optimized assets are utilized for each target breakpoint. This prevents a mobile browser from downloading a heavy 4K desktop asset:</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Multi-Resolution: </w:t>
      </w:r>
      <w:r>
        <w:rPr>
          <w:rFonts w:ascii="IBM Plex Sans" w:cs="IBM Plex Sans" w:eastAsia="IBM Plex Sans" w:hAnsi="IBM Plex Sans"/>
          <w:color w:val="1B1D1F"/>
          <w:sz w:val="22"/>
          <w:szCs w:val="22"/>
        </w:rPr>
        <w:t xml:space="preserve">Provide distinct file sources for alt, mobile, tablet, laptop, desktop, and wide configurations.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Overlap: </w:t>
      </w:r>
      <w:r>
        <w:rPr>
          <w:rFonts w:ascii="IBM Plex Sans" w:cs="IBM Plex Sans" w:eastAsia="IBM Plex Sans" w:hAnsi="IBM Plex Sans"/>
          <w:color w:val="1B1D1F"/>
          <w:sz w:val="22"/>
          <w:szCs w:val="22"/>
        </w:rPr>
        <w:t xml:space="preserve">Verify bleed boundaries; parallax movements require a 10%-15% image overlap to ensure edges are never exposed during scroll shifts.</w:t>
      </w:r>
    </w:p>
    <w:r>
      <w:br w:type="page"/>
    </w:r>
    <w:p>
      <w:pPr>
        <w:pStyle w:val="Heading1"/>
        <w:spacing w:after="160" w:before="400"/>
      </w:pPr>
      <w:r>
        <w:rPr>
          <w:rFonts w:ascii="Big Shoulders Display" w:cs="Big Shoulders Display" w:eastAsia="Big Shoulders Display" w:hAnsi="Big Shoulders Display"/>
          <w:b/>
          <w:bCs/>
          <w:color w:val="2F4B7A"/>
          <w:sz w:val="36"/>
          <w:szCs w:val="36"/>
        </w:rPr>
        <w:t xml:space="preserve">6. DEVELOPER IMPLEMENTATION GUIDELINES</w:t>
      </w:r>
    </w:p>
    <w:p>
      <w:pPr>
        <w:spacing w:after="160" w:before="40" w:line="320"/>
      </w:pPr>
      <w:r>
        <w:rPr>
          <w:rFonts w:ascii="IBM Plex Sans" w:cs="IBM Plex Sans" w:eastAsia="IBM Plex Sans" w:hAnsi="IBM Plex Sans"/>
          <w:b w:val="false"/>
          <w:bCs w:val="false"/>
          <w:color w:val="1B1D1F"/>
          <w:sz w:val="22"/>
          <w:szCs w:val="22"/>
        </w:rPr>
        <w:t xml:space="preserve">Developers can implement the fluid systems defined above easily within the workspace configuration. Two methods are available: custom JIT classes and preconfigured SCSS functions/classes.</w:t>
      </w:r>
    </w:p>
    <w:p>
      <w:pPr>
        <w:pStyle w:val="Heading2"/>
        <w:spacing w:after="120" w:before="240"/>
      </w:pPr>
      <w:r>
        <w:rPr>
          <w:rFonts w:ascii="IBM Plex Sans" w:cs="IBM Plex Sans" w:eastAsia="IBM Plex Sans" w:hAnsi="IBM Plex Sans"/>
          <w:b/>
          <w:bCs/>
          <w:color w:val="4A6FA8"/>
          <w:sz w:val="28"/>
          <w:szCs w:val="28"/>
        </w:rPr>
        <w:t xml:space="preserve">Using Tailwind CSS JIT (Arbitrary Values)</w:t>
      </w:r>
    </w:p>
    <w:p>
      <w:pPr>
        <w:spacing w:after="160" w:before="40" w:line="320"/>
      </w:pPr>
      <w:r>
        <w:rPr>
          <w:rFonts w:ascii="IBM Plex Sans" w:cs="IBM Plex Sans" w:eastAsia="IBM Plex Sans" w:hAnsi="IBM Plex Sans"/>
          <w:b w:val="false"/>
          <w:bCs w:val="false"/>
          <w:color w:val="1B1D1F"/>
          <w:sz w:val="22"/>
          <w:szCs w:val="22"/>
        </w:rPr>
        <w:t xml:space="preserve">The tailwind.fluid.js plugin allows developers to declare custom dynamic spacing in HTML templates using brackets. Separate the min and max values with a comma or underscore:</w:t>
      </w:r>
    </w:p>
    <w:tbl>
      <w:tblPr>
        <w:tblW w:type="pct" w:w="100%"/>
        <w:tblBorders>
          <w:top w:val="single" w:color="C7C2B5" w:sz="4"/>
          <w:left w:val="single" w:color="4A6FA8" w:sz="12"/>
          <w:bottom w:val="single" w:color="C7C2B5" w:sz="4"/>
          <w:right w:val="single" w:color="C7C2B5" w:sz="4"/>
          <w:insideH w:val="single" w:color="auto" w:sz="4"/>
          <w:insideV w:val="single" w:color="auto" w:sz="4"/>
        </w:tblBorders>
      </w:tblPr>
      <w:tblGrid>
        <w:gridCol w:w="100"/>
      </w:tblGrid>
      <w:tr>
        <w:tc>
          <w:tcPr>
            <w:shd w:fill="F4F2EB"/>
            <w:tcMar>
              <w:top w:type="dxa" w:w="120"/>
              <w:left w:type="dxa" w:w="160"/>
              <w:bottom w:type="dxa" w:w="120"/>
              <w:right w:type="dxa" w:w="160"/>
            </w:tcMar>
          </w:tcPr>
          <w:p>
            <w:pPr>
              <w:spacing w:after="0" w:before="0" w:line="240"/>
            </w:pPr>
            <w:r>
              <w:rPr>
                <w:rFonts w:ascii="IBM Plex Mono" w:cs="IBM Plex Mono" w:eastAsia="IBM Plex Mono" w:hAnsi="IBM Plex Mono"/>
                <w:color w:val="1B1D1F"/>
                <w:sz w:val="18"/>
                <w:szCs w:val="18"/>
              </w:rPr>
              <w:t xml:space="preserve">&lt;div class="ui-p-[20px,80px] ui-m-[8px_32px] ui-gap-[12px,40px] ui-r-[4px,24px]"&gt;</w:t>
            </w:r>
          </w:p>
        </w:tc>
      </w:tr>
    </w:tbl>
    <w:p>
      <w:pPr>
        <w:spacing w:after="160" w:before="40" w:line="320"/>
      </w:pPr>
      <w:r>
        <w:rPr>
          <w:rFonts w:ascii="IBM Plex Sans" w:cs="IBM Plex Sans" w:eastAsia="IBM Plex Sans" w:hAnsi="IBM Plex Sans"/>
          <w:b w:val="false"/>
          <w:bCs w:val="false"/>
          <w:color w:val="1B1D1F"/>
          <w:sz w:val="22"/>
          <w:szCs w:val="22"/>
        </w:rPr>
        <w:t xml:space="preserve">This compiles to padding, margin, column gap, and border radius clamp values automatically.</w:t>
      </w:r>
    </w:p>
    <w:p>
      <w:pPr>
        <w:pStyle w:val="Heading2"/>
        <w:spacing w:after="120" w:before="240"/>
      </w:pPr>
      <w:r>
        <w:rPr>
          <w:rFonts w:ascii="IBM Plex Sans" w:cs="IBM Plex Sans" w:eastAsia="IBM Plex Sans" w:hAnsi="IBM Plex Sans"/>
          <w:b/>
          <w:bCs/>
          <w:color w:val="4A6FA8"/>
          <w:sz w:val="28"/>
          <w:szCs w:val="28"/>
        </w:rPr>
        <w:t xml:space="preserve">Using Spacing and Typography Presets</w:t>
      </w:r>
    </w:p>
    <w:p>
      <w:pPr>
        <w:spacing w:after="160" w:before="40" w:line="320"/>
      </w:pPr>
      <w:r>
        <w:rPr>
          <w:rFonts w:ascii="IBM Plex Sans" w:cs="IBM Plex Sans" w:eastAsia="IBM Plex Sans" w:hAnsi="IBM Plex Sans"/>
          <w:b w:val="false"/>
          <w:bCs w:val="false"/>
          <w:color w:val="1B1D1F"/>
          <w:sz w:val="22"/>
          <w:szCs w:val="22"/>
        </w:rPr>
        <w:t xml:space="preserve">Standardized utility classes are available as presets that align with our configuration:</w:t>
      </w:r>
    </w:p>
    <w:tbl>
      <w:tblPr>
        <w:tblW w:type="pct" w:w="100%"/>
        <w:tblBorders>
          <w:top w:val="single" w:color="C7C2B5" w:sz="4"/>
          <w:left w:val="single" w:color="4A6FA8" w:sz="12"/>
          <w:bottom w:val="single" w:color="C7C2B5" w:sz="4"/>
          <w:right w:val="single" w:color="C7C2B5" w:sz="4"/>
          <w:insideH w:val="single" w:color="auto" w:sz="4"/>
          <w:insideV w:val="single" w:color="auto" w:sz="4"/>
        </w:tblBorders>
      </w:tblPr>
      <w:tblGrid>
        <w:gridCol w:w="100"/>
      </w:tblGrid>
      <w:tr>
        <w:tc>
          <w:tcPr>
            <w:shd w:fill="F4F2EB"/>
            <w:tcMar>
              <w:top w:type="dxa" w:w="120"/>
              <w:left w:type="dxa" w:w="160"/>
              <w:bottom w:type="dxa" w:w="120"/>
              <w:right w:type="dxa" w:w="160"/>
            </w:tcMar>
          </w:tcPr>
          <w:p>
            <w:pPr>
              <w:spacing w:after="0" w:before="0" w:line="240"/>
            </w:pPr>
            <w:r>
              <w:rPr>
                <w:rFonts w:ascii="IBM Plex Mono" w:cs="IBM Plex Mono" w:eastAsia="IBM Plex Mono" w:hAnsi="IBM Plex Mono"/>
                <w:color w:val="1B1D1F"/>
                <w:sz w:val="18"/>
                <w:szCs w:val="18"/>
              </w:rPr>
              <w:t xml:space="preserve">.ui-p-md   { padding: clamp(1rem, 0.75rem + 1.2vw, 1.75rem); }</w:t>
            </w:r>
          </w:p>
          <w:p>
            <w:pPr>
              <w:spacing w:after="0" w:before="0" w:line="240"/>
            </w:pPr>
            <w:r>
              <w:rPr>
                <w:rFonts w:ascii="IBM Plex Mono" w:cs="IBM Plex Mono" w:eastAsia="IBM Plex Mono" w:hAnsi="IBM Plex Mono"/>
                <w:color w:val="1B1D1F"/>
                <w:sz w:val="18"/>
                <w:szCs w:val="18"/>
              </w:rPr>
              <w:t xml:space="preserve">.ui-m-lg   { margin: clamp(1.5rem, 1rem + 2vw, 2.5rem); }</w:t>
            </w:r>
          </w:p>
          <w:p>
            <w:pPr>
              <w:spacing w:after="0" w:before="0" w:line="240"/>
            </w:pPr>
            <w:r>
              <w:rPr>
                <w:rFonts w:ascii="IBM Plex Mono" w:cs="IBM Plex Mono" w:eastAsia="IBM Plex Mono" w:hAnsi="IBM Plex Mono"/>
                <w:color w:val="1B1D1F"/>
                <w:sz w:val="18"/>
                <w:szCs w:val="18"/>
              </w:rPr>
              <w:t xml:space="preserve">.ui-gap-sm { gap: clamp(0.75rem, 0.6rem + 0.8vw, 1.25rem); }</w:t>
            </w:r>
          </w:p>
          <w:p>
            <w:pPr>
              <w:spacing w:after="0" w:before="0" w:line="240"/>
            </w:pPr>
            <w:r>
              <w:rPr>
                <w:rFonts w:ascii="IBM Plex Mono" w:cs="IBM Plex Mono" w:eastAsia="IBM Plex Mono" w:hAnsi="IBM Plex Mono"/>
                <w:color w:val="1B1D1F"/>
                <w:sz w:val="18"/>
                <w:szCs w:val="18"/>
              </w:rPr>
              <w:t xml:space="preserve">.ui-r-md   { border-radius: clamp(0.25rem, 0.15rem + 0.5vw, 0.75rem); }</w:t>
            </w:r>
          </w:p>
        </w:tc>
      </w:tr>
    </w:tbl>
    <w:p>
      <w:pPr>
        <w:pStyle w:val="Heading2"/>
        <w:spacing w:after="120" w:before="240"/>
      </w:pPr>
      <w:r>
        <w:rPr>
          <w:rFonts w:ascii="IBM Plex Sans" w:cs="IBM Plex Sans" w:eastAsia="IBM Plex Sans" w:hAnsi="IBM Plex Sans"/>
          <w:b/>
          <w:bCs/>
          <w:color w:val="4A6FA8"/>
          <w:sz w:val="28"/>
          <w:szCs w:val="28"/>
        </w:rPr>
        <w:t xml:space="preserve">Using SCSS Mixins &amp; Functions</w:t>
      </w:r>
    </w:p>
    <w:p>
      <w:pPr>
        <w:spacing w:after="160" w:before="40" w:line="320"/>
      </w:pPr>
      <w:r>
        <w:rPr>
          <w:rFonts w:ascii="IBM Plex Sans" w:cs="IBM Plex Sans" w:eastAsia="IBM Plex Sans" w:hAnsi="IBM Plex Sans"/>
          <w:b w:val="false"/>
          <w:bCs w:val="false"/>
          <w:color w:val="1B1D1F"/>
          <w:sz w:val="22"/>
          <w:szCs w:val="22"/>
        </w:rPr>
        <w:t xml:space="preserve">In stylesheets, use the sp(), rd(), and type() scss helpers to fetch values programmatically:</w:t>
      </w:r>
    </w:p>
    <w:tbl>
      <w:tblPr>
        <w:tblW w:type="pct" w:w="100%"/>
        <w:tblBorders>
          <w:top w:val="single" w:color="C7C2B5" w:sz="4"/>
          <w:left w:val="single" w:color="4A6FA8" w:sz="12"/>
          <w:bottom w:val="single" w:color="C7C2B5" w:sz="4"/>
          <w:right w:val="single" w:color="C7C2B5" w:sz="4"/>
          <w:insideH w:val="single" w:color="auto" w:sz="4"/>
          <w:insideV w:val="single" w:color="auto" w:sz="4"/>
        </w:tblBorders>
      </w:tblPr>
      <w:tblGrid>
        <w:gridCol w:w="100"/>
      </w:tblGrid>
      <w:tr>
        <w:tc>
          <w:tcPr>
            <w:shd w:fill="F4F2EB"/>
            <w:tcMar>
              <w:top w:type="dxa" w:w="120"/>
              <w:left w:type="dxa" w:w="160"/>
              <w:bottom w:type="dxa" w:w="120"/>
              <w:right w:type="dxa" w:w="160"/>
            </w:tcMar>
          </w:tcPr>
          <w:p>
            <w:pPr>
              <w:spacing w:after="0" w:before="0" w:line="240"/>
            </w:pPr>
            <w:r>
              <w:rPr>
                <w:rFonts w:ascii="IBM Plex Mono" w:cs="IBM Plex Mono" w:eastAsia="IBM Plex Mono" w:hAnsi="IBM Plex Mono"/>
                <w:color w:val="1B1D1F"/>
                <w:sz w:val="18"/>
                <w:szCs w:val="18"/>
              </w:rPr>
              <w:t xml:space="preserve">@use "spacing" as *;</w:t>
            </w:r>
          </w:p>
          <w:p>
            <w:pPr>
              <w:spacing w:after="0" w:before="0" w:line="240"/>
            </w:pPr>
            <w:r>
              <w:rPr>
                <w:rFonts w:ascii="IBM Plex Mono" w:cs="IBM Plex Mono" w:eastAsia="IBM Plex Mono" w:hAnsi="IBM Plex Mono"/>
                <w:color w:val="1B1D1F"/>
                <w:sz w:val="18"/>
                <w:szCs w:val="18"/>
              </w:rPr>
              <w:t xml:space="preserve">@use "typography" as *;</w:t>
            </w:r>
          </w:p>
          <w:p>
            <w:pPr>
              <w:spacing w:after="0" w:before="0" w:line="240"/>
            </w:pPr>
            <w:r>
              <w:rPr>
                <w:rFonts w:ascii="IBM Plex Mono" w:cs="IBM Plex Mono" w:eastAsia="IBM Plex Mono" w:hAnsi="IBM Plex Mono"/>
                <w:color w:val="1B1D1F"/>
                <w:sz w:val="18"/>
                <w:szCs w:val="18"/>
              </w:rPr>
              <w:t xml:space="preserve"/>
            </w:r>
          </w:p>
          <w:p>
            <w:pPr>
              <w:spacing w:after="0" w:before="0" w:line="240"/>
            </w:pPr>
            <w:r>
              <w:rPr>
                <w:rFonts w:ascii="IBM Plex Mono" w:cs="IBM Plex Mono" w:eastAsia="IBM Plex Mono" w:hAnsi="IBM Plex Mono"/>
                <w:color w:val="1B1D1F"/>
                <w:sz w:val="18"/>
                <w:szCs w:val="18"/>
              </w:rPr>
              <w:t xml:space="preserve">.my-card {</w:t>
            </w:r>
          </w:p>
          <w:p>
            <w:pPr>
              <w:spacing w:after="0" w:before="0" w:line="240"/>
            </w:pPr>
            <w:r>
              <w:rPr>
                <w:rFonts w:ascii="IBM Plex Mono" w:cs="IBM Plex Mono" w:eastAsia="IBM Plex Mono" w:hAnsi="IBM Plex Mono"/>
                <w:color w:val="1B1D1F"/>
                <w:sz w:val="18"/>
                <w:szCs w:val="18"/>
              </w:rPr>
              <w:t xml:space="preserve">  padding: sp('md');        // Fetches fluid spacing 'md'</w:t>
            </w:r>
          </w:p>
          <w:p>
            <w:pPr>
              <w:spacing w:after="0" w:before="0" w:line="240"/>
            </w:pPr>
            <w:r>
              <w:rPr>
                <w:rFonts w:ascii="IBM Plex Mono" w:cs="IBM Plex Mono" w:eastAsia="IBM Plex Mono" w:hAnsi="IBM Plex Mono"/>
                <w:color w:val="1B1D1F"/>
                <w:sz w:val="18"/>
                <w:szCs w:val="18"/>
              </w:rPr>
              <w:t xml:space="preserve">  border-radius: rd('sm');  // Fetches fluid border-radius 'sm'</w:t>
            </w:r>
          </w:p>
          <w:p>
            <w:pPr>
              <w:spacing w:after="0" w:before="0" w:line="240"/>
            </w:pPr>
            <w:r>
              <w:rPr>
                <w:rFonts w:ascii="IBM Plex Mono" w:cs="IBM Plex Mono" w:eastAsia="IBM Plex Mono" w:hAnsi="IBM Plex Mono"/>
                <w:color w:val="1B1D1F"/>
                <w:sz w:val="18"/>
                <w:szCs w:val="18"/>
              </w:rPr>
              <w:t xml:space="preserve">  @include type('body-lg', 400, 1.6); // Includes body font styles</w:t>
            </w:r>
          </w:p>
          <w:p>
            <w:pPr>
              <w:spacing w:after="0" w:before="0" w:line="240"/>
            </w:pPr>
            <w:r>
              <w:rPr>
                <w:rFonts w:ascii="IBM Plex Mono" w:cs="IBM Plex Mono" w:eastAsia="IBM Plex Mono" w:hAnsi="IBM Plex Mono"/>
                <w:color w:val="1B1D1F"/>
                <w:sz w:val="18"/>
                <w:szCs w:val="18"/>
              </w:rPr>
              <w:t xml:space="preserve">}</w:t>
            </w:r>
          </w:p>
        </w:tc>
      </w:tr>
    </w:tbl>
    <w:r>
      <w:br w:type="page"/>
    </w:r>
    <w:p>
      <w:pPr>
        <w:pStyle w:val="Heading1"/>
        <w:spacing w:after="160" w:before="400"/>
      </w:pPr>
      <w:r>
        <w:rPr>
          <w:rFonts w:ascii="Big Shoulders Display" w:cs="Big Shoulders Display" w:eastAsia="Big Shoulders Display" w:hAnsi="Big Shoulders Display"/>
          <w:b/>
          <w:bCs/>
          <w:color w:val="2F4B7A"/>
          <w:sz w:val="36"/>
          <w:szCs w:val="36"/>
        </w:rPr>
        <w:t xml:space="preserve">7. HANDOFF &amp; QUALITY CHECKLISTS</w:t>
      </w:r>
    </w:p>
    <w:p>
      <w:pPr>
        <w:spacing w:after="160" w:before="40" w:line="320"/>
      </w:pPr>
      <w:r>
        <w:rPr>
          <w:rFonts w:ascii="IBM Plex Sans" w:cs="IBM Plex Sans" w:eastAsia="IBM Plex Sans" w:hAnsi="IBM Plex Sans"/>
          <w:b w:val="false"/>
          <w:bCs w:val="false"/>
          <w:color w:val="1B1D1F"/>
          <w:sz w:val="22"/>
          <w:szCs w:val="22"/>
        </w:rPr>
        <w:t xml:space="preserve">Use these checklists prior to releasing designs to dev or shipping code to production to verify responsiveness.</w:t>
      </w:r>
    </w:p>
    <w:p>
      <w:pPr>
        <w:pStyle w:val="Heading2"/>
        <w:spacing w:after="120" w:before="240"/>
      </w:pPr>
      <w:r>
        <w:rPr>
          <w:rFonts w:ascii="IBM Plex Sans" w:cs="IBM Plex Sans" w:eastAsia="IBM Plex Sans" w:hAnsi="IBM Plex Sans"/>
          <w:b/>
          <w:bCs/>
          <w:color w:val="4A6FA8"/>
          <w:sz w:val="28"/>
          <w:szCs w:val="28"/>
        </w:rPr>
        <w:t xml:space="preserve">Designer Handoff Checklist</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Token Naming: </w:t>
      </w:r>
      <w:r>
        <w:rPr>
          <w:rFonts w:ascii="IBM Plex Sans" w:cs="IBM Plex Sans" w:eastAsia="IBM Plex Sans" w:hAnsi="IBM Plex Sans"/>
          <w:color w:val="1B1D1F"/>
          <w:sz w:val="22"/>
          <w:szCs w:val="22"/>
        </w:rPr>
        <w:t xml:space="preserve">Name Figma design styles to match the code terms (e.g. use 'display-xl', 'h1', 'body-lg', 'fluid-md' instead of '40px Bold' or '12px Padding').</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Responsive Testing: </w:t>
      </w:r>
      <w:r>
        <w:rPr>
          <w:rFonts w:ascii="IBM Plex Sans" w:cs="IBM Plex Sans" w:eastAsia="IBM Plex Sans" w:hAnsi="IBM Plex Sans"/>
          <w:color w:val="1B1D1F"/>
          <w:sz w:val="22"/>
          <w:szCs w:val="22"/>
        </w:rPr>
        <w:t xml:space="preserve">Verify that responsive configurations in Figma use Auto-Layout. Stretch/resize artboards in Figma to confirm components behave correctly.</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Asset Prep: </w:t>
      </w:r>
      <w:r>
        <w:rPr>
          <w:rFonts w:ascii="IBM Plex Sans" w:cs="IBM Plex Sans" w:eastAsia="IBM Plex Sans" w:hAnsi="IBM Plex Sans"/>
          <w:color w:val="1B1D1F"/>
          <w:sz w:val="22"/>
          <w:szCs w:val="22"/>
        </w:rPr>
        <w:t xml:space="preserve">Provide assets in correct formats: Vector SVG for icons, and multi-resolution PNG/WebP (Mobile, Tablet, Desktop) for photography and background banners.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Interaction Specs: </w:t>
      </w:r>
      <w:r>
        <w:rPr>
          <w:rFonts w:ascii="IBM Plex Sans" w:cs="IBM Plex Sans" w:eastAsia="IBM Plex Sans" w:hAnsi="IBM Plex Sans"/>
          <w:color w:val="1B1D1F"/>
          <w:sz w:val="22"/>
          <w:szCs w:val="22"/>
        </w:rPr>
        <w:t xml:space="preserve">Provide clear directions on how interactive components (buttons, links, form fields) transition between states.</w:t>
      </w:r>
    </w:p>
    <w:p>
      <w:pPr>
        <w:pStyle w:val="Heading2"/>
        <w:spacing w:after="120" w:before="240"/>
      </w:pPr>
      <w:r>
        <w:rPr>
          <w:rFonts w:ascii="IBM Plex Sans" w:cs="IBM Plex Sans" w:eastAsia="IBM Plex Sans" w:hAnsi="IBM Plex Sans"/>
          <w:b/>
          <w:bCs/>
          <w:color w:val="4A6FA8"/>
          <w:sz w:val="28"/>
          <w:szCs w:val="28"/>
        </w:rPr>
        <w:t xml:space="preserve">Developer Implementation Checklist</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Fluid Typo Scale: </w:t>
      </w:r>
      <w:r>
        <w:rPr>
          <w:rFonts w:ascii="IBM Plex Sans" w:cs="IBM Plex Sans" w:eastAsia="IBM Plex Sans" w:hAnsi="IBM Plex Sans"/>
          <w:color w:val="1B1D1F"/>
          <w:sz w:val="22"/>
          <w:szCs w:val="22"/>
        </w:rPr>
        <w:t xml:space="preserve">Check that font sizes use the preconfigured typography scale. Do not hardcode arbitrary px font sizes.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Fluid Spacing: </w:t>
      </w:r>
      <w:r>
        <w:rPr>
          <w:rFonts w:ascii="IBM Plex Sans" w:cs="IBM Plex Sans" w:eastAsia="IBM Plex Sans" w:hAnsi="IBM Plex Sans"/>
          <w:color w:val="1B1D1F"/>
          <w:sz w:val="22"/>
          <w:szCs w:val="22"/>
        </w:rPr>
        <w:t xml:space="preserve">Use fluid presets (e.g. ui-p-md) or fluid arbitrary values (e.g. ui-p-[20px,60px]) to allow margins/paddings to adapt seamlessly.</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Touch Target Sizing: </w:t>
      </w:r>
      <w:r>
        <w:rPr>
          <w:rFonts w:ascii="IBM Plex Sans" w:cs="IBM Plex Sans" w:eastAsia="IBM Plex Sans" w:hAnsi="IBM Plex Sans"/>
          <w:color w:val="1B1D1F"/>
          <w:sz w:val="22"/>
          <w:szCs w:val="22"/>
        </w:rPr>
        <w:t xml:space="preserve">Ensure all buttons, inputs, links, and triggers have a minimum clickable area of 44x44px to accommodate touch devices.</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Keyboard Focus: </w:t>
      </w:r>
      <w:r>
        <w:rPr>
          <w:rFonts w:ascii="IBM Plex Sans" w:cs="IBM Plex Sans" w:eastAsia="IBM Plex Sans" w:hAnsi="IBM Plex Sans"/>
          <w:color w:val="1B1D1F"/>
          <w:sz w:val="22"/>
          <w:szCs w:val="22"/>
        </w:rPr>
        <w:t xml:space="preserve">Ensure all interactive elements have visual focus rings (using the --focus-ring styling token) to facilitate keyboard navigation accessibility.</w:t>
      </w:r>
    </w:p>
    <w:p>
      <w:pPr>
        <w:pStyle w:val="ListParagraph"/>
        <w:numPr>
          <w:ilvl w:val="0"/>
          <w:numId w:val="1"/>
        </w:numPr>
        <w:spacing w:after="80" w:before="40" w:line="280"/>
      </w:pPr>
      <w:r>
        <w:rPr>
          <w:rFonts w:ascii="IBM Plex Sans" w:cs="IBM Plex Sans" w:eastAsia="IBM Plex Sans" w:hAnsi="IBM Plex Sans"/>
          <w:b/>
          <w:bCs/>
          <w:color w:val="1B1D1F"/>
          <w:sz w:val="22"/>
          <w:szCs w:val="22"/>
        </w:rPr>
        <w:t xml:space="preserve">Device Verification: </w:t>
      </w:r>
      <w:r>
        <w:rPr>
          <w:rFonts w:ascii="IBM Plex Sans" w:cs="IBM Plex Sans" w:eastAsia="IBM Plex Sans" w:hAnsi="IBM Plex Sans"/>
          <w:color w:val="1B1D1F"/>
          <w:sz w:val="22"/>
          <w:szCs w:val="22"/>
        </w:rPr>
        <w:t xml:space="preserve">Test the UI across multiple viewports: physical mobile phones, tablets, and desktop browsers, checking for overflow, overlapping text, or layout breaks.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2026-07-17T12:40:53.417Z</dcterms:created>
  <dcterms:modified xsi:type="dcterms:W3CDTF">2026-07-17T12:40:53.418Z</dcterms:modified>
</cp:coreProperties>
</file>

<file path=docProps/custom.xml><?xml version="1.0" encoding="utf-8"?>
<Properties xmlns="http://schemas.openxmlformats.org/officeDocument/2006/custom-properties" xmlns:vt="http://schemas.openxmlformats.org/officeDocument/2006/docPropsVTypes"/>
</file>