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widowControl/>
      </w:pPr>
      <w:bookmarkStart w:id="18" w:name="_0d512dfab8ff4547c81a82cbb795ca48866f8a8"/>
      <w:r>
        <w:t xml:space="preserve">Supplementary Methods</w:t>
      </w:r>
      <w:bookmarkEnd w:id="18"/>
    </w:p>
    <w:p>
      <w:pPr>
        <w:pStyle w:val="Heading1"/>
        <w:widowControl/>
      </w:pPr>
      <w:bookmarkStart w:id="19" w:name="_0c4362ca2b49e3fa6820da337bd96cfe2e89c9b"/>
      <w:r>
        <w:t xml:space="preserve">S1 Source assets and grid record</w:t>
      </w:r>
      <w:bookmarkEnd w:id="19"/>
    </w:p>
    <w:p>
      <w:pPr>
        <w:pStyle w:val="FirstParagraph"/>
        <w:widowControl/>
      </w:pPr>
      <w:r>
        <w:t>Data-source roles and observation rules are reported in Table 1 and Sections 2.2–2.9 of the main manuscript. Exact annual Earth Engine assets are JRC/GSW1_4/YearlyHistory for 2000–2015, projects/global-surface-water/assets/GSW1_5/YearlyHistory_2016_2021 for corrected 2016–2021, and projects/global-surface-water/assets/GSW1_5/YearlyHistory_2022_2024 thereafter. Monthly assets are JRC/GSW1_4/MonthlyHistory through 2021 and projects/JRC/GSW1_5/MonthlyHistory_2022_2024 thereafter. The latter lacks system:time_start; genuine provider index/year/month metadata were used. Empty date-filter results were not dry observations.</w:t>
      </w:r>
    </w:p>
    <w:p>
      <w:pPr>
        <w:pStyle w:val="BodyText"/>
        <w:widowControl/>
      </w:pPr>
      <w:r>
        <w:rPr>
          <w:rFonts w:ascii="Times New Roman" w:hAnsi="Times New Roman"/>
          <w:sz w:val="24"/>
          <w14:ligatures xmlns:w14="http://schemas.microsoft.com/office/word/2010/wordml" w14:val="none"/>
        </w:rPr>
        <w:t xml:space="preserve">Climate assets are</w:t>
      </w:r>
      <w:r>
        <w:rPr>
          <w:rFonts w:ascii="Times New Roman" w:hAnsi="Times New Roman"/>
          <w:sz w:val="24"/>
          <w14:ligatures xmlns:w14="http://schemas.microsoft.com/office/word/2010/wordml" w14:val="none"/>
        </w:rPr>
        <w:t xml:space="preserve"> </w:t>
      </w:r>
      <w:r>
        <w:rPr>
          <w:rStyle w:val="VerbatimChar"/>
          <w:rFonts w:ascii="Times New Roman" w:hAnsi="Times New Roman"/>
          <w:sz w:val="24"/>
          <w14:ligatures xmlns:w14="http://schemas.microsoft.com/office/word/2010/wordml" w14:val="none"/>
        </w:rPr>
        <w:t xml:space="preserve">UCSB-CHC/CHIRPS/V3/PENTAD</w:t>
      </w:r>
      <w:r>
        <w:rPr>
          <w:rFonts w:ascii="Times New Roman" w:hAnsi="Times New Roman"/>
          <w:sz w:val="24"/>
          <w14:ligatures xmlns:w14="http://schemas.microsoft.com/office/word/2010/wordml" w14:val="none"/>
        </w:rPr>
        <w:t xml:space="preserve"> </w:t>
      </w:r>
      <w:r>
        <w:rPr>
          <w:rFonts w:ascii="Times New Roman" w:hAnsi="Times New Roman"/>
          <w:sz w:val="24"/>
          <w14:ligatures xmlns:w14="http://schemas.microsoft.com/office/word/2010/wordml" w14:val="none"/>
        </w:rPr>
        <w:t xml:space="preserve">and</w:t>
      </w:r>
      <w:r>
        <w:rPr>
          <w:rFonts w:ascii="Times New Roman" w:hAnsi="Times New Roman"/>
          <w:sz w:val="24"/>
          <w14:ligatures xmlns:w14="http://schemas.microsoft.com/office/word/2010/wordml" w14:val="none"/>
        </w:rPr>
        <w:t xml:space="preserve"> </w:t>
      </w:r>
      <w:r>
        <w:rPr>
          <w:rStyle w:val="VerbatimChar"/>
          <w:rFonts w:ascii="Times New Roman" w:hAnsi="Times New Roman"/>
          <w:sz w:val="24"/>
          <w14:ligatures xmlns:w14="http://schemas.microsoft.com/office/word/2010/wordml" w14:val="none"/>
        </w:rPr>
        <w:t xml:space="preserve">ECMWF/ERA5_LAND/MONTHLY_AGGR</w:t>
      </w:r>
      <w:r>
        <w:rPr>
          <w:rFonts w:ascii="Times New Roman" w:hAnsi="Times New Roman"/>
          <w:sz w:val="24"/>
          <w14:ligatures xmlns:w14="http://schemas.microsoft.com/office/word/2010/wordml" w14:val="none"/>
        </w:rPr>
        <w:t xml:space="preserve">; radar and Dynamic World assets are</w:t>
      </w:r>
      <w:r>
        <w:rPr>
          <w:rFonts w:ascii="Times New Roman" w:hAnsi="Times New Roman"/>
          <w:sz w:val="24"/>
          <w14:ligatures xmlns:w14="http://schemas.microsoft.com/office/word/2010/wordml" w14:val="none"/>
        </w:rPr>
        <w:t xml:space="preserve"> </w:t>
      </w:r>
      <w:r>
        <w:rPr>
          <w:rStyle w:val="VerbatimChar"/>
          <w:rFonts w:ascii="Times New Roman" w:hAnsi="Times New Roman"/>
          <w:sz w:val="24"/>
          <w14:ligatures xmlns:w14="http://schemas.microsoft.com/office/word/2010/wordml" w14:val="none"/>
        </w:rPr>
        <w:t xml:space="preserve">COPERNICUS/S1_GRD</w:t>
      </w:r>
      <w:r>
        <w:rPr>
          <w:rFonts w:ascii="Times New Roman" w:hAnsi="Times New Roman"/>
          <w:sz w:val="24"/>
          <w14:ligatures xmlns:w14="http://schemas.microsoft.com/office/word/2010/wordml" w14:val="none"/>
        </w:rPr>
        <w:t xml:space="preserve"> </w:t>
      </w:r>
      <w:r>
        <w:rPr>
          <w:rFonts w:ascii="Times New Roman" w:hAnsi="Times New Roman"/>
          <w:sz w:val="24"/>
          <w14:ligatures xmlns:w14="http://schemas.microsoft.com/office/word/2010/wordml" w14:val="none"/>
        </w:rPr>
        <w:t xml:space="preserve">and</w:t>
      </w:r>
      <w:r>
        <w:rPr>
          <w:rFonts w:ascii="Times New Roman" w:hAnsi="Times New Roman"/>
          <w:sz w:val="24"/>
          <w14:ligatures xmlns:w14="http://schemas.microsoft.com/office/word/2010/wordml" w14:val="none"/>
        </w:rPr>
        <w:t xml:space="preserve"> </w:t>
      </w:r>
      <w:r>
        <w:rPr>
          <w:rStyle w:val="VerbatimChar"/>
          <w:rFonts w:ascii="Times New Roman" w:hAnsi="Times New Roman"/>
          <w:sz w:val="24"/>
          <w14:ligatures xmlns:w14="http://schemas.microsoft.com/office/word/2010/wordml" w14:val="none"/>
        </w:rPr>
        <w:t xml:space="preserve">GOOGLE/DYNAMICWORLD/V1</w:t>
      </w:r>
      <w:r>
        <w:rPr>
          <w:rFonts w:ascii="Times New Roman" w:hAnsi="Times New Roman"/>
          <w:sz w:val="24"/>
          <w14:ligatures xmlns:w14="http://schemas.microsoft.com/office/word/2010/wordml" w14:val="none"/>
        </w:rPr>
        <w:t xml:space="preserve">. The older monthly display used</w:t>
      </w:r>
      <w:r>
        <w:rPr>
          <w:rFonts w:ascii="Times New Roman" w:hAnsi="Times New Roman"/>
          <w:sz w:val="24"/>
          <w14:ligatures xmlns:w14="http://schemas.microsoft.com/office/word/2010/wordml" w14:val="none"/>
        </w:rPr>
        <w:t xml:space="preserve"> </w:t>
      </w:r>
      <w:r>
        <w:rPr>
          <w:rStyle w:val="VerbatimChar"/>
          <w:rFonts w:ascii="Times New Roman" w:hAnsi="Times New Roman"/>
          <w:sz w:val="24"/>
          <w14:ligatures xmlns:w14="http://schemas.microsoft.com/office/word/2010/wordml" w14:val="none"/>
        </w:rPr>
        <w:t xml:space="preserve">COPERNICUS/S2_SR_HARMONIZED</w:t>
      </w:r>
      <w:r>
        <w:rPr>
          <w:rFonts w:ascii="Times New Roman" w:hAnsi="Times New Roman"/>
          <w:sz w:val="24"/>
          <w14:ligatures xmlns:w14="http://schemas.microsoft.com/office/word/2010/wordml" w14:val="none"/>
        </w:rPr>
        <w:t xml:space="preserve">. The later raw-value triage used archived Level-2A crop values and each product XML calibration, rather than reading display colors as reflectance.</w:t>
      </w:r>
    </w:p>
    <w:p>
      <w:pPr>
        <w:pStyle w:val="BodyText"/>
        <w:widowControl/>
      </w:pPr>
      <w:r>
        <w:rPr>
          <w:rFonts w:ascii="Times New Roman" w:hAnsi="Times New Roman"/>
          <w:sz w:val="24"/>
          <w14:ligatures xmlns:w14="http://schemas.microsoft.com/office/word/2010/wordml" w14:val="none"/>
        </w:rPr>
        <w:t xml:space="preserve">The primary local raster grid preserves downloaded JRC alignment; climate intersections use EPSG:6933. The separate radar cohort grid uses EPSG:4326 with affine transform [0.00026949458523585647, 0, 0, 0, −0.00026949458523585647, 0]; its 10 m working grid is EPSG:32645. Categorical inputs use nearest-neighbor alignment and supported/water fractions use overlap-weighted aggregation. Reprojection does not add native detail or correct co-registration.</w:t>
      </w:r>
    </w:p>
    <w:p>
      <w:pPr>
        <w:pStyle w:val="BodyText"/>
        <w:widowControl/>
      </w:pPr>
      <w:r>
        <w:rPr>
          <w:rFonts w:ascii="Times New Roman" w:hAnsi="Times New Roman"/>
          <w:sz w:val="24"/>
          <w14:ligatures xmlns:w14="http://schemas.microsoft.com/office/word/2010/wordml" w14:val="none"/>
        </w:rPr>
        <w:t xml:space="preserve">Boundary metadata are geoBoundaries gbOpen BGD ADM2, BGD-ADM2-16705992, represented year 2020, underlying Bangladesh Bureau of Statistics/OCHA ROAP, build 12 December 2023, source update 19 January 2023 and geoBoundaries commit 9469f09. The upstream license is CC BY 3.0 IGO. The original Nawabganj geometry is reported as Chapainawabganj.</w:t>
      </w:r>
    </w:p>
    <w:p>
      <w:pPr>
        <w:pStyle w:val="Heading1"/>
        <w:widowControl/>
      </w:pPr>
      <w:bookmarkStart w:id="20" w:name="_947ebc48eb8e8b29a7c62e2a3630470fbad5bad"/>
      <w:r>
        <w:t xml:space="preserve">S2 Revision identifiers and evidence ledger</w:t>
      </w:r>
      <w:bookmarkEnd w:id="20"/>
    </w:p>
    <w:p>
      <w:pPr>
        <w:pStyle w:val="FirstParagraph"/>
        <w:widowControl/>
      </w:pPr>
      <w:r>
        <w:rPr>
          <w:rFonts w:ascii="Times New Roman" w:hAnsi="Times New Roman"/>
          <w:sz w:val="24"/>
          <w14:ligatures xmlns:w14="http://schemas.microsoft.com/office/word/2010/wordml" w14:val="none"/>
        </w:rPr>
        <w:t xml:space="preserve">The main manuscript reports the original and revised human counts and the assisted-review limitation. The single revised record is sample 144, opaque ID</w:t>
      </w:r>
      <w:r>
        <w:rPr>
          <w:rFonts w:ascii="Times New Roman" w:hAnsi="Times New Roman"/>
          <w:sz w:val="24"/>
          <w14:ligatures xmlns:w14="http://schemas.microsoft.com/office/word/2010/wordml" w14:val="none"/>
        </w:rPr>
        <w:t xml:space="preserve"> </w:t>
      </w:r>
      <w:r>
        <w:rPr>
          <w:rStyle w:val="VerbatimChar"/>
          <w:rFonts w:ascii="Times New Roman" w:hAnsi="Times New Roman"/>
          <w:sz w:val="24"/>
          <w14:ligatures xmlns:w14="http://schemas.microsoft.com/office/word/2010/wordml" w14:val="none"/>
        </w:rPr>
        <w:t xml:space="preserve">b_0a0e34935c6e74d9804cd2</w:t>
      </w:r>
      <w:r>
        <w:rPr>
          <w:rFonts w:ascii="Times New Roman" w:hAnsi="Times New Roman"/>
          <w:sz w:val="24"/>
          <w14:ligatures xmlns:w14="http://schemas.microsoft.com/office/word/2010/wordml" w14:val="none"/>
        </w:rPr>
        <w:t xml:space="preserve">, scene</w:t>
      </w:r>
      <w:r>
        <w:rPr>
          <w:rFonts w:ascii="Times New Roman" w:hAnsi="Times New Roman"/>
          <w:sz w:val="24"/>
          <w14:ligatures xmlns:w14="http://schemas.microsoft.com/office/word/2010/wordml" w14:val="none"/>
        </w:rPr>
        <w:t xml:space="preserve"> </w:t>
      </w:r>
      <w:r>
        <w:rPr>
          <w:rStyle w:val="VerbatimChar"/>
          <w:rFonts w:ascii="Times New Roman" w:hAnsi="Times New Roman"/>
          <w:sz w:val="24"/>
          <w14:ligatures xmlns:w14="http://schemas.microsoft.com/office/word/2010/wordml" w14:val="none"/>
        </w:rPr>
        <w:t xml:space="preserve">S2B_MSIL2A_20230330T043709_R033_T45RXH_20240824T175150</w:t>
      </w:r>
      <w:r>
        <w:rPr>
          <w:rFonts w:ascii="Times New Roman" w:hAnsi="Times New Roman"/>
          <w:sz w:val="24"/>
          <w14:ligatures xmlns:w14="http://schemas.microsoft.com/office/word/2010/wordml" w14:val="none"/>
        </w:rPr>
        <w:t xml:space="preserve">, acquired 30 March 2023. The reviewer changed nonwater to water after seeing rule output. The correction timestamp is revision provenance, not a new independent image inspection. Joins use sample_id plus scene_id. The final per-pixel table and label-revision record accompany the code/data; historical review backups remain in the private development archive.</w:t>
      </w:r>
    </w:p>
    <w:p>
      <w:pPr>
        <w:pStyle w:val="BodyText"/>
        <w:widowControl/>
      </w:pPr>
      <w:r>
        <w:rPr>
          <w:rStyle w:val="VerbatimChar"/>
          <w:rFonts w:ascii="Times New Roman" w:hAnsi="Times New Roman"/>
          <w:sz w:val="24"/>
          <w14:ligatures xmlns:w14="http://schemas.microsoft.com/office/word/2010/wordml" w14:val="none"/>
        </w:rPr>
        <w:t xml:space="preserve">Supplementary_Data/table_manifest.json</w:t>
      </w:r>
      <w:r>
        <w:rPr>
          <w:rFonts w:ascii="Times New Roman" w:hAnsi="Times New Roman"/>
          <w:sz w:val="24"/>
          <w14:ligatures xmlns:w14="http://schemas.microsoft.com/office/word/2010/wordml" w14:val="none"/>
        </w:rPr>
        <w:t xml:space="preserve"> </w:t>
      </w:r>
      <w:r>
        <w:rPr>
          <w:rFonts w:ascii="Times New Roman" w:hAnsi="Times New Roman"/>
          <w:sz w:val="24"/>
          <w14:ligatures xmlns:w14="http://schemas.microsoft.com/office/word/2010/wordml" w14:val="none"/>
        </w:rPr>
        <w:t xml:space="preserve">records row counts and SHA-256 values for 18 frozen main-result CSVs.</w:t>
      </w:r>
      <w:r>
        <w:rPr>
          <w:rFonts w:ascii="Times New Roman" w:hAnsi="Times New Roman"/>
          <w:sz w:val="24"/>
          <w14:ligatures xmlns:w14="http://schemas.microsoft.com/office/word/2010/wordml" w14:val="none"/>
        </w:rPr>
        <w:t xml:space="preserve"> </w:t>
      </w:r>
      <w:r>
        <w:rPr>
          <w:rStyle w:val="VerbatimChar"/>
          <w:rFonts w:ascii="Times New Roman" w:hAnsi="Times New Roman"/>
          <w:sz w:val="24"/>
          <w14:ligatures xmlns:w14="http://schemas.microsoft.com/office/word/2010/wordml" w14:val="none"/>
        </w:rPr>
        <w:t xml:space="preserve">Extended_Diagnostics/manifest.json</w:t>
      </w:r>
      <w:r>
        <w:rPr>
          <w:rFonts w:ascii="Times New Roman" w:hAnsi="Times New Roman"/>
          <w:sz w:val="24"/>
          <w14:ligatures xmlns:w14="http://schemas.microsoft.com/office/word/2010/wordml" w14:val="none"/>
        </w:rPr>
        <w:t xml:space="preserve"> </w:t>
      </w:r>
      <w:r>
        <w:rPr>
          <w:rFonts w:ascii="Times New Roman" w:hAnsi="Times New Roman"/>
          <w:sz w:val="24"/>
          <w14:ligatures xmlns:w14="http://schemas.microsoft.com/office/word/2010/wordml" w14:val="none"/>
        </w:rPr>
        <w:t xml:space="preserve">identifies 20 additional fold-level, calibration and monthly diagnostic tables by original source. Rejected fits, support failures, unassigned labels and missing recovery durations remain visible. The 12 main figures are tied to original inputs through</w:t>
      </w:r>
      <w:r>
        <w:rPr>
          <w:rFonts w:ascii="Times New Roman" w:hAnsi="Times New Roman"/>
          <w:sz w:val="24"/>
          <w14:ligatures xmlns:w14="http://schemas.microsoft.com/office/word/2010/wordml" w14:val="none"/>
        </w:rPr>
        <w:t xml:space="preserve"> </w:t>
      </w:r>
      <w:r>
        <w:rPr>
          <w:rStyle w:val="VerbatimChar"/>
          <w:rFonts w:ascii="Times New Roman" w:hAnsi="Times New Roman"/>
          <w:sz w:val="24"/>
          <w14:ligatures xmlns:w14="http://schemas.microsoft.com/office/word/2010/wordml" w14:val="none"/>
        </w:rPr>
        <w:t xml:space="preserve">setup/inline_figure_manifest.json</w:t>
      </w:r>
      <w:r>
        <w:rPr>
          <w:rFonts w:ascii="Times New Roman" w:hAnsi="Times New Roman"/>
          <w:sz w:val="24"/>
          <w14:ligatures xmlns:w14="http://schemas.microsoft.com/office/word/2010/wordml" w14:val="none"/>
        </w:rPr>
        <w:t xml:space="preserve">. The source ledger distinguishes registry metadata, abstract-only access and reviewed sections; accountable-author reference verification is still pending.</w:t>
      </w:r>
    </w:p>
    <w:p>
      <w:pPr>
        <w:pStyle w:val="Heading1"/>
        <w:widowControl/>
      </w:pPr>
      <w:bookmarkStart w:id="21" w:name="_23341635bdc09717b0e5c8cc10e78e9b496d0fb"/>
      <w:r>
        <w:t xml:space="preserve">S3 Reproduction</w:t>
      </w:r>
      <w:bookmarkEnd w:id="21"/>
    </w:p>
    <w:p>
      <w:pPr>
        <w:pStyle w:val="FirstParagraph"/>
        <w:widowControl/>
      </w:pPr>
      <w:r>
        <w:t>The original four v0.2.0-review archives share a root and retain the earlier replay described in REVIEW_README.md. They do not include the new revision results. The separate Revision_Supplement contains frozen protocols, genuine derived inputs, revision code, tables, source/access logs and checksums. Follow its README for statistical replay; raw-raster extraction and new Earth Engine exports require the documented source archive and authenticated access. Large source rasters and dated crops are not duplicated. No missing water observations, independent truth labels or actual recovery durations are manufactured. Source licenses remain applicable.</w:t>
      </w:r>
    </w:p>
    <w:sectPr w:rsidR="00FC693F" w:rsidRPr="0006063C" w:rsidSect="00034616">
      <w:footerReference w:type="default" r:id="rId9"/>
      <w:headerReference w:type="default" r:id="rId1"/>
      <w:pgSz w:w="11906" w:h="16838"/>
      <w:pgMar w:top="1134" w:right="850" w:bottom="1134" w:left="850" w:header="340" w:footer="454" w:gutter="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PAGE">
      <w: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val="bestFit"/>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120"/>
    </w:pPr>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line="240" w:lineRule="auto"/>
      <w:outlineLvl w:val="0"/>
    </w:pPr>
    <w:rPr>
      <w:rFonts w:cstheme="majorBidi" w:ascii="Times New Roman" w:hAnsi="Times New Roman" w:eastAsia="Times New Roman" w:cs="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100" w:line="240" w:lineRule="auto"/>
      <w:outlineLvl w:val="1"/>
    </w:pPr>
    <w:rPr>
      <w:rFonts w:cstheme="majorBidi" w:ascii="Times New Roman" w:hAnsi="Times New Roman" w:eastAsia="Times New Roman" w:cs="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cstheme="majorBidi" w:ascii="Times New Roman" w:hAnsi="Times New Roman" w:eastAsia="Times New Roman" w:cs="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00" w:line="240" w:lineRule="auto"/>
      <w:contextualSpacing/>
    </w:pPr>
    <w:rPr>
      <w:rFonts w:cstheme="majorBidi" w:ascii="Times New Roman" w:hAnsi="Times New Roman" w:eastAsia="Times New Roman" w:cs="Times New Roman"/>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line="276" w:lineRule="auto" w:after="120"/>
    </w:pPr>
    <w:rPr>
      <w:rFonts w:cstheme="majorBidi" w:ascii="Times New Roman" w:hAnsi="Times New Roman" w:eastAsia="Times New Roman" w:cs="Times New Roman"/>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line="240" w:lineRule="auto"/>
    </w:pPr>
    <w:rPr>
      <w:rFonts w:ascii="Times New Roman" w:hAnsi="Times New Roman"/>
      <w:sz w:val="24"/>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spacing w:line="240" w:lineRule="auto" w:after="120"/>
    </w:pPr>
    <w:rPr>
      <w:rFonts w:ascii="Times New Roman" w:hAnsi="Times New Roman" w:eastAsia="Times New Roman" w:cs="Times New Roman"/>
      <w:b w:val="0"/>
      <w:bCs/>
      <w:i w:val="0"/>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ibliography">
    <w:name w:val="Bibliography"/>
    <w:pPr>
      <w:spacing w:line="240" w:lineRule="auto" w:after="120"/>
      <w:ind w:left="317" w:hanging="317"/>
    </w:pPr>
    <w:rPr>
      <w:rFonts w:ascii="Times New Roman" w:hAnsi="Times New Roman" w:eastAsia="Times New Roman" w:cs="Times New Roman"/>
      <w:color w:val="000000"/>
      <w:sz w:val="24"/>
    </w:rPr>
  </w:style>
  <w:style w:type="paragraph" w:customStyle="1" w:styleId="Templateplaceholder">
    <w:name w:val="Template placeholder"/>
    <w:basedOn w:val="Normal"/>
    <w:pPr>
      <w:spacing w:line="240" w:lineRule="auto" w:after="60"/>
    </w:pPr>
    <w:rPr>
      <w:sz w:val="2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customStyle="1" w:styleId="FirstParagraph">
    <w:name w:val="First Paragraph"/>
    <w:basedOn w:val="Normal"/>
    <w:pPr>
      <w:spacing w:line="240" w:lineRule="auto" w:after="120"/>
    </w:pPr>
    <w:rPr>
      <w:rFonts w:ascii="Times New Roman" w:hAnsi="Times New Roman"/>
      <w:sz w:val="24"/>
    </w:rPr>
  </w:style>
  <w:style w:type="paragraph" w:customStyle="1" w:styleId="FootnoteText">
    <w:name w:val="Footnote Text"/>
    <w:basedOn w:val="Normal"/>
    <w:pPr>
      <w:spacing w:line="240" w:lineRule="auto"/>
    </w:pPr>
    <w:rPr>
      <w:rFonts w:ascii="Times New Roman" w:hAnsi="Times New Roman"/>
      <w:color w:val="000000"/>
      <w:sz w:val="18"/>
    </w:rPr>
  </w:style>
  <w:style w:type="character" w:customStyle="1" w:styleId="FootnoteReference">
    <w:name w:val="Footnote Reference"/>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 Id="rId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Methods</dc:title>
  <dc:creator/>
  <cp:keywords/>
  <dcterms:created xsi:type="dcterms:W3CDTF">2026-10-16T02:16:24Z</dcterms:created>
  <dcterms:modified xsi:type="dcterms:W3CDTF">2026-10-16T02:16:24Z</dcterms:modified>
  <cp:lastModifiedBy/>
  <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C:\Users\Admin\Desktop\New folder\Frontiers_Earth_Science_Inline_20261016\references\csl\frontiers.csl</vt:lpwstr>
  </property>
</Properties>
</file>