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DPI Studio Intellectual Property Registration Guide for Pakistan</w:t>
      </w:r>
    </w:p>
    <w:p>
      <w:pPr>
        <w:pStyle w:val="Subtitle"/>
      </w:pPr>
      <w:r>
        <w:t>Copyright Preparation and Patent Assessment Dossier</w:t>
      </w:r>
    </w:p>
    <w:p>
      <w:r>
        <w:rPr>
          <w:b/>
        </w:rPr>
        <w:t>Project creator: Dr. Asif Ahmad</w:t>
      </w:r>
    </w:p>
    <w:p>
      <w:r>
        <w:rPr>
          <w:b w:val="0"/>
        </w:rPr>
        <w:t>Prepared for Dr. Asif Ahmad | Research date 14 October 2026</w:t>
      </w:r>
    </w:p>
    <w:p>
      <w:pPr>
        <w:pStyle w:val="Heading2"/>
      </w:pPr>
      <w:r>
        <w:t>Recommended route</w:t>
      </w:r>
    </w:p>
    <w:p>
      <w:r>
        <w:rPr>
          <w:b w:val="0"/>
        </w:rPr>
        <w:t>Prepare copyright registration for the protectable software expression and documentation. Consider trademark registration for the DPI Studio name after a clearance search. Seek a patent only if a Pakistani patent professional identifies an eligible, new and non-obvious technical contribution. The current implementation does not establish that contribution.</w:t>
      </w:r>
    </w:p>
    <w:p>
      <w:pPr>
        <w:pStyle w:val="Heading2"/>
      </w:pPr>
      <w:r>
        <w:t>What this document provides</w:t>
      </w:r>
    </w:p>
    <w:p>
      <w:r>
        <w:rPr>
          <w:b w:val="0"/>
        </w:rPr>
        <w:t>This guide explains the routes in plain English, records the current software, assesses what is distinctive, supplies draft application information, and gives a sequence for approaching the Intellectual Property Organization of Pakistan, or IPO-Pakistan. IPO is the organization handling several rights; IPO registration is not one single type of protection.</w:t>
      </w:r>
    </w:p>
    <w:p>
      <w:pPr>
        <w:pStyle w:val="Heading2"/>
      </w:pPr>
      <w:r>
        <w:t>Status of the drafts</w:t>
      </w:r>
    </w:p>
    <w:p>
      <w:r>
        <w:rPr>
          <w:b w:val="0"/>
        </w:rPr>
        <w:t>No application has been filed and no registration, patent, trademark clearance, ownership determination or novelty opinion has been obtained. The drafts describe actual features, not a certified invention. Replace every bracketed field with verified information and transfer the relevant material into current official forms.</w:t>
      </w:r>
    </w:p>
    <w:p>
      <w:pPr>
        <w:pStyle w:val="Heading2"/>
      </w:pPr>
      <w:r>
        <w:t>Important source limitation</w:t>
      </w:r>
    </w:p>
    <w:p>
      <w:r>
        <w:rPr>
          <w:b w:val="0"/>
        </w:rPr>
        <w:t>The official IPO website could not be retrieved reliably during this research. Current fees, deposit media, office intake arrangements and online filing availability therefore remain to be confirmed directly. WIPO legal texts, Pakistan Code, an IPO-authored filing guide hosted by a university, and technical standards were consulted. WIPO flags later patent amendments; have counsel check the Gazette and current office practice before a patent filing. [S1–S7]</w:t>
      </w:r>
    </w:p>
    <w:p>
      <w:r>
        <w:br w:type="page"/>
      </w:r>
    </w:p>
    <w:p>
      <w:pPr>
        <w:pStyle w:val="Heading1"/>
      </w:pPr>
      <w:r>
        <w:t>Contents and Your First Decisions</w:t>
      </w:r>
    </w:p>
    <w:tbl>
      <w:tblPr>
        <w:tblW w:type="auto" w:w="0"/>
        <w:jc w:val="center"/>
        <w:tblLayout w:type="fixed"/>
        <w:tblLook w:firstColumn="1" w:firstRow="1" w:lastColumn="0" w:lastRow="0" w:noHBand="0" w:noVBand="1" w:val="04A0"/>
      </w:tblPr>
      <w:tblGrid>
        <w:gridCol w:w="9000"/>
        <w:gridCol w:w="1080"/>
      </w:tblGrid>
      <w:tr>
        <w:trPr>
          <w:cantSplit/>
          <w:tblHeader/>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Subject</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Page</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Protection routes and legal basics</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Creator ownership and AI assistance</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4</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DPI Studio technical record</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5–7</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What is distinctive and what is already known</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8–9</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Copyright preparation and filing sequence</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10–11</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Draft copyright particulars and supporting statements</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12–14</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Trademark route for the name</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15</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Patent requirements and filing sequence</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16–17</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Technical description and illustrative claims</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18–19</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Fees contacts and questions for IPO</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20</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Evidence and completion checklist</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21</w:t>
            </w:r>
          </w:p>
        </w:tc>
      </w:tr>
      <w:tr>
        <w:trPr>
          <w:cantSplit/>
        </w:trPr>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Sources and final action plan</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22–23</w:t>
            </w:r>
          </w:p>
        </w:tc>
      </w:tr>
    </w:tbl>
    <w:p>
      <w:r>
        <w:rPr>
          <w:b w:val="0"/>
        </w:rPr>
      </w:r>
    </w:p>
    <w:p>
      <w:pPr>
        <w:pStyle w:val="Heading2"/>
      </w:pPr>
      <w:r>
        <w:t>Three decisions before you pay</w:t>
      </w:r>
    </w:p>
    <w:p>
      <w:pPr>
        <w:ind w:left="230" w:hanging="230"/>
      </w:pPr>
      <w:r>
        <w:rPr>
          <w:b w:val="0"/>
        </w:rPr>
        <w:t>1. Decide who will apply: Dr. Asif Ahmad personally, a company, a university, or another documented rights holder. A creator credit alone does not settle legal ownership.</w:t>
      </w:r>
    </w:p>
    <w:p>
      <w:pPr>
        <w:ind w:left="230" w:hanging="230"/>
      </w:pPr>
      <w:r>
        <w:rPr>
          <w:b w:val="0"/>
        </w:rPr>
        <w:t>2. Decide which work is being registered: the software version, the user manual, and a logo may be different works. Identify each separately rather than assuming one filing covers every asset.</w:t>
      </w:r>
    </w:p>
    <w:p>
      <w:pPr>
        <w:ind w:left="230" w:hanging="230"/>
      </w:pPr>
      <w:r>
        <w:rPr>
          <w:b w:val="0"/>
        </w:rPr>
        <w:t>3. Decide whether the objective is code protection, brand protection, or protection of an invention. Those objectives use different routes and different evidence.</w:t>
      </w:r>
    </w:p>
    <w:p>
      <w:pPr>
        <w:pStyle w:val="Heading2"/>
      </w:pPr>
      <w:r>
        <w:t>Use of this dossier</w:t>
      </w:r>
    </w:p>
    <w:p>
      <w:r>
        <w:rPr>
          <w:b w:val="0"/>
        </w:rPr>
        <w:t>For a copyright discussion, take pages 4–14 and the source evidence archive. For brand clearance, use page 15. For a patent consultation, use pages 8–9 and 16–19, including the warnings about known methods and prior disclosure. Keep this guide separate from any official specification.</w:t>
      </w:r>
    </w:p>
    <w:p>
      <w:r>
        <w:rPr>
          <w:b w:val="0"/>
        </w:rPr>
        <w:t>Working release label: DPI Studio snapshot of 14 October 2026. This label identifies the reviewed files; it is not an independently verified date of first creation or publication.</w:t>
      </w:r>
    </w:p>
    <w:p>
      <w:r>
        <w:br w:type="page"/>
      </w:r>
    </w:p>
    <w:p>
      <w:pPr>
        <w:pStyle w:val="Heading1"/>
      </w:pPr>
      <w:r>
        <w:t>Protection Routes and Legal Basics</w:t>
      </w:r>
    </w:p>
    <w:tbl>
      <w:tblPr>
        <w:tblW w:type="auto" w:w="0"/>
        <w:jc w:val="center"/>
        <w:tblLayout w:type="fixed"/>
        <w:tblLook w:firstColumn="1" w:firstRow="1" w:lastColumn="0" w:lastRow="0" w:noHBand="0" w:noVBand="1" w:val="04A0"/>
      </w:tblPr>
      <w:tblGrid>
        <w:gridCol w:w="1584"/>
        <w:gridCol w:w="3744"/>
        <w:gridCol w:w="4752"/>
      </w:tblGrid>
      <w:tr>
        <w:trPr>
          <w:cantSplit/>
          <w:tblHeader/>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Route</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What it can protect</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DPI Studio assessment</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Copyright</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Eligible original expression in code and writing</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Most practical starting route; authorship and ownership need review</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Trademark</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A distinctive mark for identified goods or services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Consider for name or logo after clearance</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Patent</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An eligible invention meeting statutory tests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No proven patentable contribution in this snapshot</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Confidentiality</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Information kept secret under appropriate controls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Limited for code distributed in an offline HTML file</w:t>
            </w:r>
          </w:p>
        </w:tc>
      </w:tr>
    </w:tbl>
    <w:p>
      <w:r>
        <w:rPr>
          <w:b w:val="0"/>
        </w:rPr>
      </w:r>
    </w:p>
    <w:p>
      <w:pPr>
        <w:pStyle w:val="Heading2"/>
      </w:pPr>
      <w:r>
        <w:t>Copyright basics</w:t>
      </w:r>
    </w:p>
    <w:p>
      <w:r>
        <w:rPr>
          <w:b w:val="0"/>
        </w:rPr>
        <w:t>Computer programs are included within literary works. Protection is subject to legal eligibility, including originality. Registration is voluntary and the register and certificate have evidentiary value. Authorship, employment exceptions and assignments affect ownership. Ordinary qualifying literary works published during the author’s lifetime generally have a term linked to the author’s life plus fifty years, rather than fifty years from registration. [S1]</w:t>
      </w:r>
    </w:p>
    <w:p>
      <w:pPr>
        <w:pStyle w:val="Heading2"/>
      </w:pPr>
      <w:r>
        <w:t>Patent basics</w:t>
      </w:r>
    </w:p>
    <w:p>
      <w:r>
        <w:rPr>
          <w:b w:val="0"/>
        </w:rPr>
        <w:t>The reviewed law requires novelty, inventive step and industrial application. Prior public disclosures anywhere in the world matter. Mathematical methods, literary works and presentation of information have exclusions when claimed as such. The law contains a narrow exhibition exception; do not treat it as a general grace period for putting code online. A patent normally runs twenty years from filing, subject to maintenance requirements. [S3]</w:t>
      </w:r>
    </w:p>
    <w:p>
      <w:pPr>
        <w:pStyle w:val="Heading2"/>
      </w:pPr>
      <w:r>
        <w:t>Trademark basics</w:t>
      </w:r>
    </w:p>
    <w:p>
      <w:r>
        <w:rPr>
          <w:b w:val="0"/>
        </w:rPr>
        <w:t>A mark must satisfy registration requirements, including distinctiveness and conflicts with earlier rights. Registration is tied to goods or services. The reviewed Ordinance provides ten-year registration periods and renewal. DPI Studio may face a descriptive or weak-distinctiveness objection because DPI names the function and Studio is common branding. This is an assessment, not a registry decision. [S8]</w:t>
      </w:r>
    </w:p>
    <w:p>
      <w:pPr>
        <w:pStyle w:val="Heading2"/>
      </w:pPr>
      <w:r>
        <w:t>What these rights do not establish</w:t>
      </w:r>
    </w:p>
    <w:p>
      <w:r>
        <w:rPr>
          <w:b w:val="0"/>
        </w:rPr>
        <w:t>A copyright certificate does not make the general idea of changing DPI exclusive. A trademark does not protect the image-processing algorithm. A patent application receipt is not a granted patent. Pakistan registration is not a worldwide patent grant. A software registration is also not a guarantee that no third-party rights are infringed.</w:t>
      </w:r>
    </w:p>
    <w:p>
      <w:r>
        <w:br w:type="page"/>
      </w:r>
    </w:p>
    <w:p>
      <w:pPr>
        <w:pStyle w:val="Heading1"/>
      </w:pPr>
      <w:r>
        <w:t>Creator Ownership and AI Assistance</w:t>
      </w:r>
    </w:p>
    <w:p>
      <w:pPr>
        <w:pStyle w:val="Heading2"/>
      </w:pPr>
      <w:r>
        <w:t>Credit requested for this project</w:t>
      </w:r>
    </w:p>
    <w:p>
      <w:r>
        <w:rPr>
          <w:b w:val="0"/>
        </w:rPr>
        <w:t>Project creator: Dr. Asif Ahmad. This credit is used throughout the dossier. Applicant, copyright author, copyright owner and patent inventor are separate legal roles; the present record does not prove that the same person occupies all of them.</w:t>
      </w:r>
    </w:p>
    <w:p>
      <w:pPr>
        <w:pStyle w:val="Heading2"/>
      </w:pPr>
      <w:r>
        <w:t>Document actual human contributions</w:t>
      </w:r>
    </w:p>
    <w:p>
      <w:r>
        <w:rPr>
          <w:b w:val="0"/>
        </w:rPr>
        <w:t>The project was developed with AI assistance in this ChatGPT/Codex workflow. Preserve the instructions, generated code, subsequent human edits, design choices and test records. Describe what Dr. Asif Ahmad and any other human contributor actually contributed. Do not claim that all code was personally handwritten or that a feature was personally invented unless that is supported.</w:t>
      </w:r>
    </w:p>
    <w:p>
      <w:r>
        <w:rPr>
          <w:b w:val="0"/>
        </w:rPr>
        <w:t>The materials reviewed do not settle how IPO will assess this particular AI-assisted code. Ask a Pakistani IP lawyer and the Copyright Office about protectable human authorship, compilation or selection contributions, the appropriate claimant, and any declaration they require. Access to generated output or a project credit does not by itself resolve statutory copyright or inventorship.</w:t>
      </w:r>
    </w:p>
    <w:p>
      <w:pPr>
        <w:pStyle w:val="Heading2"/>
      </w:pPr>
      <w:r>
        <w:t>Institutional and employment interests</w:t>
      </w:r>
    </w:p>
    <w:p>
      <w:r>
        <w:rPr>
          <w:b w:val="0"/>
        </w:rPr>
        <w:t>Check employment terms, consultancy agreements, university policies, funding agreements and use of institutional facilities. If the app was created in employment or with an institution’s resources, obtain an ownership determination or permission before claiming personal ownership. The copyright and patent ownership rules differ. An NOC is not necessarily a transfer of title; a signed assignment may also be needed. [S1, S3, S5]</w:t>
      </w:r>
    </w:p>
    <w:p>
      <w:pPr>
        <w:pStyle w:val="Heading2"/>
      </w:pPr>
      <w:r>
        <w:t>Contributor record to complete</w:t>
      </w:r>
    </w:p>
    <w:tbl>
      <w:tblPr>
        <w:tblW w:type="auto" w:w="0"/>
        <w:jc w:val="center"/>
        <w:tblLayout w:type="fixed"/>
        <w:tblLook w:firstColumn="1" w:firstRow="1" w:lastColumn="0" w:lastRow="0" w:noHBand="0" w:noVBand="1" w:val="04A0"/>
      </w:tblPr>
      <w:tblGrid>
        <w:gridCol w:w="2376"/>
        <w:gridCol w:w="3600"/>
        <w:gridCol w:w="4104"/>
      </w:tblGrid>
      <w:tr>
        <w:trPr>
          <w:cantSplit/>
          <w:tblHeade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Role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Name or organization</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Evidence to attach</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Project creator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Dr. Asif Ahmad</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Project instructions and actual contribution statement</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Human code or design contributor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[Complete or state none after review]</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Dated edits and agreement</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Applicant and rights holder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[Confirm legal claimant]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Ownership basis and assignments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Employer funder or institution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[Complete if involved]</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Policy NOC or ownership agreement</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AI assistance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ChatGPT/Codex workflow</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Development log and reviewed terms</w:t>
            </w:r>
          </w:p>
        </w:tc>
      </w:tr>
    </w:tbl>
    <w:p>
      <w:r>
        <w:rPr>
          <w:b w:val="0"/>
        </w:rPr>
      </w:r>
    </w:p>
    <w:p>
      <w:r>
        <w:rPr>
          <w:b w:val="0"/>
        </w:rPr>
        <w:t>Review applicable service terms and any third-party material separately. No licensing audit, legal authorship decision or institutional clearance has been completed by this dossier.</w:t>
      </w:r>
    </w:p>
    <w:p>
      <w:r>
        <w:br w:type="page"/>
      </w:r>
    </w:p>
    <w:p>
      <w:pPr>
        <w:pStyle w:val="Heading1"/>
      </w:pPr>
      <w:r>
        <w:t>DPI Studio Technical Record</w:t>
      </w:r>
    </w:p>
    <w:p>
      <w:pPr>
        <w:pStyle w:val="Heading2"/>
      </w:pPr>
      <w:r>
        <w:t>Proposed identification of the work</w:t>
      </w:r>
    </w:p>
    <w:p>
      <w:r>
        <w:rPr>
          <w:b w:val="0"/>
        </w:rPr>
        <w:t>Title: DPI Studio. Category proposed for discussion: computer program within literary works. Reviewed release: source snapshot of 14 October 2026. Interface and documentation language: English; program languages: HTML, CSS and JavaScript. Project creator credit: Dr. Asif Ahmad.</w:t>
      </w:r>
    </w:p>
    <w:p>
      <w:pPr>
        <w:pStyle w:val="Heading2"/>
      </w:pPr>
      <w:r>
        <w:t>Factual software description for a copyright attachment</w:t>
      </w:r>
    </w:p>
    <w:p>
      <w:r>
        <w:rPr>
          <w:b w:val="0"/>
        </w:rPr>
        <w:t>DPI Studio is a browser-based image utility that creates downloadable PNG or JPEG copies with a selected whole-number print density from 300 to 600 DPI. The user selects still PNG, JPEG or WebP files. The app can retain decoded pixel dimensions or calculate new dimensions for a print width in inches or centimeters, preserving proportions. It writes PNG physical-density metadata or JPEG JFIF density and reads the result back before initiating a download. Multiple images can be exported as a ZIP. A self-contained HTML version runs locally without an image-upload service.</w:t>
      </w:r>
    </w:p>
    <w:p>
      <w:pPr>
        <w:pStyle w:val="Heading2"/>
      </w:pPr>
      <w:r>
        <w:t>Operating modes and outputs</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Item</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Current implementation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Default settings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300 DPI; keep pixel dimensions; PNG output</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Density choice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Every integer from 300 through 600; presets 300 450 600</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Optional resize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Print width entered by user; height calculated proportionally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PNG output</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Transparency retained; decoded or resized pixels encoded losslessly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JPEG output</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Quality parameter 0.98; transparent areas filled white; lossy encoding</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Source density reader</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PNG pHYs and JPEG JFIF; EXIF-only values may not be detected</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Delivery</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Browser download; ZIP for multiple loaded images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Session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Files and settings held in the current page session</w:t>
            </w:r>
          </w:p>
        </w:tc>
      </w:tr>
    </w:tbl>
    <w:p>
      <w:r>
        <w:rPr>
          <w:b w:val="0"/>
        </w:rPr>
      </w:r>
    </w:p>
    <w:p>
      <w:pPr>
        <w:pStyle w:val="Heading2"/>
      </w:pPr>
      <w:r>
        <w:t>Limits of the description</w:t>
      </w:r>
    </w:p>
    <w:p>
      <w:r>
        <w:rPr>
          <w:b w:val="0"/>
        </w:rPr>
        <w:t>Increasing the density tag alone changes intended print size and does not restore detail. Resizing uses ordinary browser interpolation. There is no AI super-resolution, sharpening, direct printer control, cropping, CMYK conversion or preservation of original EXIF in the export. Original input files are not overwritten by the app.</w:t>
      </w:r>
    </w:p>
    <w:p>
      <w:r>
        <w:br w:type="page"/>
      </w:r>
    </w:p>
    <w:p>
      <w:pPr>
        <w:pStyle w:val="Heading1"/>
      </w:pPr>
      <w:r>
        <w:t>Architecture and Processing Sequence</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File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Role in the reviewed implementation</w:t>
            </w:r>
          </w:p>
        </w:tc>
      </w:tr>
      <w:tr>
        <w:trPr>
          <w:cantSplit/>
        </w:trPr>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dist/index.html</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Page structure and controls</w:t>
            </w:r>
          </w:p>
        </w:tc>
      </w:tr>
      <w:tr>
        <w:trPr>
          <w:cantSplit/>
        </w:trPr>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dist/style.css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Visual presentation</w:t>
            </w:r>
          </w:p>
        </w:tc>
      </w:tr>
      <w:tr>
        <w:trPr>
          <w:cantSplit/>
        </w:trPr>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dist/app.js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Session controls loading canvas export and downloads</w:t>
            </w:r>
          </w:p>
        </w:tc>
      </w:tr>
      <w:tr>
        <w:trPr>
          <w:cantSplit/>
        </w:trPr>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dist/dpi-core.js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Density parsing writing dimension calculation and ZIP packaging</w:t>
            </w:r>
          </w:p>
        </w:tc>
      </w:tr>
      <w:tr>
        <w:trPr>
          <w:cantSplit/>
        </w:trPr>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dist/DPI-Studio-Offline.html</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Combined standalone local application</w:t>
            </w:r>
          </w:p>
        </w:tc>
      </w:tr>
      <w:tr>
        <w:trPr>
          <w:cantSplit/>
        </w:trPr>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tests and README.md</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Validation materials and description</w:t>
            </w:r>
          </w:p>
        </w:tc>
      </w:tr>
    </w:tbl>
    <w:p>
      <w:r>
        <w:rPr>
          <w:b w:val="0"/>
        </w:rPr>
      </w:r>
    </w:p>
    <w:p>
      <w:pPr>
        <w:pStyle w:val="Heading2"/>
      </w:pPr>
      <w:r>
        <w:t>Reproducible operation</w:t>
      </w:r>
    </w:p>
    <w:p>
      <w:pPr>
        <w:ind w:left="230" w:hanging="230"/>
      </w:pPr>
      <w:r>
        <w:rPr>
          <w:b w:val="0"/>
        </w:rPr>
        <w:t>1. The file picker or drop action supplies user-selected files. The app checks MIME type, file count and byte limits. The browser decodes each image; decoded pixel count is checked.</w:t>
      </w:r>
    </w:p>
    <w:p>
      <w:pPr>
        <w:ind w:left="230" w:hanging="230"/>
      </w:pPr>
      <w:r>
        <w:rPr>
          <w:b w:val="0"/>
        </w:rPr>
        <w:t>2. The app rejects detected animated PNG and WebP content, creates a thumbnail, records dimensions, and attempts to read source density. No input density is invented when detection fails.</w:t>
      </w:r>
    </w:p>
    <w:p>
      <w:pPr>
        <w:ind w:left="230" w:hanging="230"/>
      </w:pPr>
      <w:r>
        <w:rPr>
          <w:b w:val="0"/>
        </w:rPr>
        <w:t>3. The chosen integer DPI is validated. In keep mode, width and height remain the decoded dimensions. In resize mode, pixel width is rounded from physical width multiplied by DPI; proportional height is rounded from the original aspect ratio.</w:t>
      </w:r>
    </w:p>
    <w:p>
      <w:pPr>
        <w:ind w:left="230" w:hanging="230"/>
      </w:pPr>
      <w:r>
        <w:rPr>
          <w:b w:val="0"/>
        </w:rPr>
        <w:t>4. Output size is checked. A canvas draws the image using requested high-quality smoothing. JPEG first receives a white canvas background. The canvas encodes a new PNG or JPEG byte sequence.</w:t>
      </w:r>
    </w:p>
    <w:p>
      <w:pPr>
        <w:ind w:left="230" w:hanging="230"/>
      </w:pPr>
      <w:r>
        <w:rPr>
          <w:b w:val="0"/>
        </w:rPr>
        <w:t>5. The format-specific writer inserts or updates density metadata in that new encoding. The reader checks the output against the target with a tolerance of 0.02 DPI. A failed metadata check prevents that image download.</w:t>
      </w:r>
    </w:p>
    <w:p>
      <w:pPr>
        <w:ind w:left="230" w:hanging="230"/>
      </w:pPr>
      <w:r>
        <w:rPr>
          <w:b w:val="0"/>
        </w:rPr>
        <w:t>6. The browser downloads a copy. Batch images are processed sequentially, accumulated within the byte limit, and stored in a ZIP. Object URLs are revoked when no longer needed or on session exit.</w:t>
      </w:r>
    </w:p>
    <w:p>
      <w:pPr>
        <w:pStyle w:val="Heading2"/>
      </w:pPr>
      <w:r>
        <w:t>Privacy and technical boundaries</w:t>
      </w:r>
    </w:p>
    <w:p>
      <w:r>
        <w:rPr>
          <w:b w:val="0"/>
        </w:rPr>
        <w:t>The application source uses no image-upload endpoint, external runtime dependency or analytics request. Offline processing is local. This describes app code; it is not an audit of browser extensions, the operating system, or hosting infrastructure. Distribution of the standalone file also distributes readable client-side code.</w:t>
      </w:r>
    </w:p>
    <w:p>
      <w:r>
        <w:br w:type="page"/>
      </w:r>
    </w:p>
    <w:p>
      <w:pPr>
        <w:pStyle w:val="Heading1"/>
      </w:pPr>
      <w:r>
        <w:t>Density Methods Limits and Validation</w:t>
      </w:r>
    </w:p>
    <w:p>
      <w:pPr>
        <w:pStyle w:val="Heading2"/>
      </w:pPr>
      <w:r>
        <w:t>PNG method</w:t>
      </w:r>
    </w:p>
    <w:p>
      <w:r>
        <w:rPr>
          <w:b w:val="0"/>
        </w:rPr>
        <w:t>The code parses PNG chunks, removes existing pHYs entries, and inserts one pHYs chunk after IHDR. Its nine-byte payload stores equal X and Y pixels per meter, each computed as round(DPI ÷ 0.0254), with the unit byte set to meters. It calculates CRC-32 over the chunk type and payload. Tiny density rounding differences are expected. The metadata-writing function preserves the other chunks of the newly canvas-encoded image. [S12]</w:t>
      </w:r>
    </w:p>
    <w:p>
      <w:pPr>
        <w:pStyle w:val="Heading2"/>
      </w:pPr>
      <w:r>
        <w:t>JPEG method</w:t>
      </w:r>
    </w:p>
    <w:p>
      <w:r>
        <w:rPr>
          <w:b w:val="0"/>
        </w:rPr>
        <w:t>The code scans JPEG segments up to image scan data. An existing JFIF APP0 density record is updated, or a JFIF APP0 segment is inserted. Units are inches; horizontal and vertical density fields contain the selected integer. This follows an established file-format convention. Preserving the newly encoded scan bytes during this step does not mean the original input JPEG escaped canvas recompression. [S13]</w:t>
      </w:r>
    </w:p>
    <w:p>
      <w:pPr>
        <w:pStyle w:val="Heading2"/>
      </w:pPr>
      <w:r>
        <w:t>Size and resource safeguards</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Check</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Implemented boundary</w:t>
            </w:r>
          </w:p>
        </w:tc>
      </w:tr>
      <w:tr>
        <w:trPr>
          <w:cantSplit/>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Loaded batch</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10 images</w:t>
            </w:r>
          </w:p>
        </w:tc>
      </w:tr>
      <w:tr>
        <w:trPr>
          <w:cantSplit/>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Individual input</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25 × 1024² bytes</w:t>
            </w:r>
          </w:p>
        </w:tc>
      </w:tr>
      <w:tr>
        <w:trPr>
          <w:cantSplit/>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Combined input</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100 × 1024² bytes</w:t>
            </w:r>
          </w:p>
        </w:tc>
      </w:tr>
      <w:tr>
        <w:trPr>
          <w:cantSplit/>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Input and output pixel count</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40 million pixels per image</w:t>
            </w:r>
          </w:p>
        </w:tc>
      </w:tr>
      <w:tr>
        <w:trPr>
          <w:cantSplit/>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Output side length</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16 384 pixels</w:t>
            </w:r>
          </w:p>
        </w:tc>
      </w:tr>
      <w:tr>
        <w:trPr>
          <w:cantSplit/>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Accumulated batch output bytes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200 × 1024² bytes before ZIP overhead</w:t>
            </w:r>
          </w:p>
        </w:tc>
      </w:tr>
      <w:tr>
        <w:trPr>
          <w:cantSplit/>
        </w:trPr>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Metadata readback</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Absolute difference no greater than 0.02 DPI</w:t>
            </w:r>
          </w:p>
        </w:tc>
      </w:tr>
    </w:tbl>
    <w:p>
      <w:r>
        <w:rPr>
          <w:b w:val="0"/>
        </w:rPr>
      </w:r>
    </w:p>
    <w:p>
      <w:pPr>
        <w:pStyle w:val="Heading2"/>
      </w:pPr>
      <w:r>
        <w:t>Validation evidence</w:t>
      </w:r>
    </w:p>
    <w:p>
      <w:r>
        <w:rPr>
          <w:b w:val="0"/>
        </w:rPr>
        <w:t>On this review, all nine core tests passed, including every integer DPI in the range, PNG chunk checksums, density insertion, dimensions, error handling and ZIP contents. Independent Pillow decoding also passed for prepared fixtures. These are file-level checks; fixtures are not evidence of an AI quality improvement or a novel algorithm.</w:t>
      </w:r>
    </w:p>
    <w:p>
      <w:r>
        <w:rPr>
          <w:b w:val="0"/>
        </w:rPr>
        <w:t>The DOM test suite could not be rerun because jsdom was unavailable in the current environment. Earlier project records describe checks using image and canvas adapters. Live browser visual/export verification remains uncompleted here. Before filing, capture a real-browser demonstration and verify an actual exported file independently.</w:t>
      </w:r>
    </w:p>
    <w:p>
      <w:r>
        <w:br w:type="page"/>
      </w:r>
    </w:p>
    <w:p>
      <w:pPr>
        <w:pStyle w:val="Heading1"/>
      </w:pPr>
      <w:r>
        <w:t>What Is Distinctive in DPI Studio</w:t>
      </w:r>
    </w:p>
    <w:p>
      <w:pPr>
        <w:pStyle w:val="Heading2"/>
      </w:pPr>
      <w:r>
        <w:t>Accurate answer to what is new</w:t>
      </w:r>
    </w:p>
    <w:p>
      <w:r>
        <w:rPr>
          <w:b w:val="0"/>
        </w:rPr>
        <w:t>DPI Studio is a newly assembled project in this workflow with a focused interface and an integrated local export process. Its candidate protectable expression is the particular code, arrangement, interface expression and documentation, to the extent legal originality and human authorship are established. Being new to the creator is different from being new over worldwide prior art.</w:t>
      </w:r>
    </w:p>
    <w:tbl>
      <w:tblPr>
        <w:tblW w:type="auto" w:w="0"/>
        <w:jc w:val="center"/>
        <w:tblLayout w:type="fixed"/>
        <w:tblLook w:firstColumn="1" w:firstRow="1" w:lastColumn="0" w:lastRow="0" w:noHBand="0" w:noVBand="1" w:val="04A0"/>
      </w:tblPr>
      <w:tblGrid>
        <w:gridCol w:w="2376"/>
        <w:gridCol w:w="3816"/>
        <w:gridCol w:w="3888"/>
      </w:tblGrid>
      <w:tr>
        <w:trPr>
          <w:cantSplit/>
          <w:tblHeade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Feature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Useful project distinction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Patent assessment</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300–600 integer selection</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Simple focused controls and presets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Choosing a range is not proven inventive</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Explicit keep or resize mode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Explains print size separately from pixel count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Density and resampling are known operations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Offline single HTML file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Local workflow without an upload server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Browser deployment alone is not proven novel</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PNG and JPEG metadata writers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Handles standard density conventions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The formats and fields are established</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Metadata checked before download</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Integrated verification step</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 possible combination to investigate; no novelty established</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Batch ZIP and limits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Convenient delivery and resource safeguards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Common software techniques; no verified inventive step</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Transparent PNG and white JPEG</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Predictable export behavior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Conventional format handling</w:t>
            </w:r>
          </w:p>
        </w:tc>
      </w:tr>
    </w:tbl>
    <w:p>
      <w:r>
        <w:rPr>
          <w:b w:val="0"/>
        </w:rPr>
      </w:r>
    </w:p>
    <w:p>
      <w:pPr>
        <w:pStyle w:val="Heading2"/>
      </w:pPr>
      <w:r>
        <w:t>Proposed description of contribution</w:t>
      </w:r>
    </w:p>
    <w:p>
      <w:r>
        <w:rPr>
          <w:b w:val="0"/>
        </w:rPr>
        <w:t>“DPI Studio combines local image selection, a constrained print-density interface, optional aspect-preserving print-width resizing, format-specific density writing, readback validation and batch export in a standalone browser application.” This describes implementation, not a claim that nobody has previously made that combination.</w:t>
      </w:r>
    </w:p>
    <w:p>
      <w:pPr>
        <w:pStyle w:val="Heading2"/>
      </w:pPr>
      <w:r>
        <w:t>Claims to avoid</w:t>
      </w:r>
    </w:p>
    <w:p>
      <w:r>
        <w:rPr>
          <w:b w:val="0"/>
        </w:rPr>
        <w:t>Do not describe the app as the first DPI converter, a patented enhancer, a new PNG or JPEG format, an AI restoration engine, or a system that creates genuine photographic detail. No exhaustive novelty search or comparative performance study supports those claims. A custom name and attractive interface do not themselves establish a technical invention.</w:t>
      </w:r>
    </w:p>
    <w:p>
      <w:r>
        <w:br w:type="page"/>
      </w:r>
    </w:p>
    <w:p>
      <w:pPr>
        <w:pStyle w:val="Heading1"/>
      </w:pPr>
      <w:r>
        <w:t>Known Methods and Prior Art Review</w:t>
      </w:r>
    </w:p>
    <w:p>
      <w:pPr>
        <w:pStyle w:val="Heading2"/>
      </w:pPr>
      <w:r>
        <w:t>Relevant evidence already identified</w:t>
      </w:r>
    </w:p>
    <w:p>
      <w:r>
        <w:rPr>
          <w:b w:val="0"/>
        </w:rPr>
        <w:t>The 2003 W3C PNG specification describes physical pixel density. The JFIF specification documents JPEG inch and centimeter density units. ImageMagick documentation distinguishes density changes from resampling. Browser documentation describes canvas encoding and standard smoothing. These references provide concrete reasons to treat the underlying operations as established. [S12–S15]</w:t>
      </w:r>
    </w:p>
    <w:p>
      <w:pPr>
        <w:pStyle w:val="Heading2"/>
      </w:pPr>
      <w:r>
        <w:t>The remaining patent search</w:t>
      </w:r>
    </w:p>
    <w:p>
      <w:r>
        <w:rPr>
          <w:b w:val="0"/>
        </w:rPr>
        <w:t>This was a targeted technical literature check, not an exhaustive patent search, novelty opinion or freedom-to-operate review. No search has cleared all possible claims. Before paying for a patent, ask an agent to search patent databases and non-patent literature against a precise proposed claim, not merely the product name.</w:t>
      </w:r>
    </w:p>
    <w:p>
      <w:pPr>
        <w:ind w:left="230" w:hanging="230"/>
      </w:pPr>
      <w:r>
        <w:rPr>
          <w:b w:val="0"/>
        </w:rPr>
        <w:t>1. Write the exact claimed combination and technical effect. Specify what the software changes beyond standard format fields, interpolation, validation and packaging.</w:t>
      </w:r>
    </w:p>
    <w:p>
      <w:pPr>
        <w:ind w:left="230" w:hanging="230"/>
      </w:pPr>
      <w:r>
        <w:rPr>
          <w:b w:val="0"/>
        </w:rPr>
        <w:t>2. Search WIPO PATENTSCOPE, Espacenet, Google Patents, product manuals and dated repositories. Suggested terms: browser image resolution metadata; PNG pHYs density validation; JPEG JFIF DPI; offline image print size converter; client-side image batch export.</w:t>
      </w:r>
    </w:p>
    <w:p>
      <w:pPr>
        <w:ind w:left="230" w:hanging="230"/>
      </w:pPr>
      <w:r>
        <w:rPr>
          <w:b w:val="0"/>
        </w:rPr>
        <w:t>3. Record each result’s identifier, publication date, relevant passage or claim, and the feature it teaches. Save copies and search dates. Current documentation alone does not prove when a historical feature first appeared; obtain dated earlier versions where needed.</w:t>
      </w:r>
    </w:p>
    <w:p>
      <w:pPr>
        <w:ind w:left="230" w:hanging="230"/>
      </w:pPr>
      <w:r>
        <w:rPr>
          <w:b w:val="0"/>
        </w:rPr>
        <w:t>4. Compare every element of a proposed claim and combinations an ordinary developer would reasonably make. Have the agent distinguish eligibility, novelty, inventive step and infringement risks.</w:t>
      </w:r>
    </w:p>
    <w:p>
      <w:pPr>
        <w:pStyle w:val="Heading2"/>
      </w:pPr>
      <w:r>
        <w:t>Disclosure history to complete</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Event</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Facts and supporting records required</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First conception and development</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[Date people involved and notes]</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Private sharing or demonstrations</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[Recipients dates and confidentiality terms]</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Hosted website or public repository</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[First accessible date visibility and what was disclosed]</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Distribution of offline app or manual</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[Recipients dates and access conditions]</w:t>
            </w:r>
          </w:p>
        </w:tc>
      </w:tr>
    </w:tbl>
    <w:p>
      <w:r>
        <w:rPr>
          <w:b w:val="0"/>
        </w:rPr>
      </w:r>
    </w:p>
    <w:p>
      <w:r>
        <w:rPr>
          <w:b w:val="0"/>
        </w:rPr>
        <w:t>A private sign-in page is not automatically public prior art, and it is not automatically confidential. Give counsel the actual access history. Do not backdate a filing or assume publication can be undone for novelty purposes. [S3]</w:t>
      </w:r>
    </w:p>
    <w:p>
      <w:r>
        <w:br w:type="page"/>
      </w:r>
    </w:p>
    <w:p>
      <w:pPr>
        <w:pStyle w:val="Heading1"/>
      </w:pPr>
      <w:r>
        <w:t>Copyright Preparation Step by Step</w:t>
      </w:r>
    </w:p>
    <w:p>
      <w:pPr>
        <w:pStyle w:val="Heading2"/>
      </w:pPr>
      <w:r>
        <w:t>Statutory starting point</w:t>
      </w:r>
    </w:p>
    <w:p>
      <w:r>
        <w:rPr>
          <w:b w:val="0"/>
        </w:rPr>
        <w:t>The reviewed Copyright Rules use Form II in triplicate for one work, with particulars and further particulars. Copies go to other persons interested in the rights. The rule provides a thirty-day objection interval, followed by registration if the Registrar is satisfied, or inquiry where necessary. Newspaper advertisement is specifically stated for artistic works, not a universal condition for software literary works. Confirm current administrative requirements. [S2]</w:t>
      </w:r>
    </w:p>
    <w:p>
      <w:pPr>
        <w:ind w:left="230" w:hanging="230"/>
      </w:pPr>
      <w:r>
        <w:rPr>
          <w:b w:val="0"/>
        </w:rPr>
        <w:t>1. Resolve the claimant using page 4. Collect signed agreements, institutional clearance where relevant, contributor information and the actual human-contribution record. Do not tick sole author merely because the app bears your name.</w:t>
      </w:r>
    </w:p>
    <w:p>
      <w:pPr>
        <w:ind w:left="230" w:hanging="230"/>
      </w:pPr>
      <w:r>
        <w:rPr>
          <w:b w:val="0"/>
        </w:rPr>
        <w:t>2. Freeze the software version you wish to register. Retain the standalone HTML and the separate source files. Use the supplied evidence archive as a review copy, not as proof that the Office will accept ZIP deposits.</w:t>
      </w:r>
    </w:p>
    <w:p>
      <w:pPr>
        <w:ind w:left="230" w:hanging="230"/>
      </w:pPr>
      <w:r>
        <w:rPr>
          <w:b w:val="0"/>
        </w:rPr>
        <w:t>3. Prepare a concise work description using page 5. List language, version, creation history and known publication facts. Include a real-browser screenshot and a sample output only if authorized and useful; do not include personal image files.</w:t>
      </w:r>
    </w:p>
    <w:p>
      <w:pPr>
        <w:ind w:left="230" w:hanging="230"/>
      </w:pPr>
      <w:r>
        <w:rPr>
          <w:b w:val="0"/>
        </w:rPr>
        <w:t>4. Ask the Copyright Office for its current computer-program checklist and current Form II package. Ask whether it requires complete source, printed source, electronic media, selected extracts, executable copy, screenshots, an affidavit or specific attestation. Do not apply Indian software-deposit rules to Pakistan.</w:t>
      </w:r>
    </w:p>
    <w:p>
      <w:pPr>
        <w:ind w:left="230" w:hanging="230"/>
      </w:pPr>
      <w:r>
        <w:rPr>
          <w:b w:val="0"/>
        </w:rPr>
        <w:t>5. Complete the official form. Page 12 supplies a factual worksheet. Leave the registration number for the Office. Enter exact identity and address details, the basis of your interest, authors, rights holders and publication history. Resolve each bracketed entry before signing.</w:t>
      </w:r>
    </w:p>
    <w:p>
      <w:pPr>
        <w:pStyle w:val="Heading2"/>
      </w:pPr>
      <w:r>
        <w:t>Prepare supporting material</w:t>
      </w:r>
    </w:p>
    <w:p>
      <w:pPr>
        <w:ind w:left="202" w:hanging="202"/>
      </w:pPr>
      <w:r>
        <w:rPr>
          <w:b w:val="0"/>
        </w:rPr>
        <w:t>• Verified identity and contact details in the format requested by the Office.</w:t>
      </w:r>
    </w:p>
    <w:p>
      <w:pPr>
        <w:ind w:left="202" w:hanging="202"/>
      </w:pPr>
      <w:r>
        <w:rPr>
          <w:b w:val="0"/>
        </w:rPr>
        <w:t>• Copies of the work in the number and media currently accepted.</w:t>
      </w:r>
    </w:p>
    <w:p>
      <w:pPr>
        <w:ind w:left="202" w:hanging="202"/>
      </w:pPr>
      <w:r>
        <w:rPr>
          <w:b w:val="0"/>
        </w:rPr>
        <w:t>• Ownership and author consents or assignments where needed.</w:t>
      </w:r>
    </w:p>
    <w:p>
      <w:pPr>
        <w:ind w:left="202" w:hanging="202"/>
      </w:pPr>
      <w:r>
        <w:rPr>
          <w:b w:val="0"/>
        </w:rPr>
        <w:t>• Fee instrument or payment proof using current official instructions.</w:t>
      </w:r>
    </w:p>
    <w:p>
      <w:r>
        <w:rPr>
          <w:b w:val="0"/>
        </w:rPr>
        <w:t>This is a preparation list. Identification copies, deposit format, attestation and stamp-paper amount have not been independently verified as uniform current requirements for every software application.</w:t>
      </w:r>
    </w:p>
    <w:p>
      <w:r>
        <w:br w:type="page"/>
      </w:r>
    </w:p>
    <w:p>
      <w:pPr>
        <w:pStyle w:val="Heading1"/>
      </w:pPr>
      <w:r>
        <w:t>Copyright Submission and Follow Up</w:t>
      </w:r>
    </w:p>
    <w:p>
      <w:pPr>
        <w:ind w:left="230" w:hanging="230"/>
      </w:pPr>
      <w:r>
        <w:rPr>
          <w:b w:val="0"/>
        </w:rPr>
        <w:t>6. Complete the statement of further particulars and prepare any requested declaration using pages 13–14. Review AI assistance and third-party material with counsel before stating originality or ownership.</w:t>
      </w:r>
    </w:p>
    <w:p>
      <w:pPr>
        <w:ind w:left="230" w:hanging="230"/>
      </w:pPr>
      <w:r>
        <w:rPr>
          <w:b w:val="0"/>
        </w:rPr>
        <w:t>7. Notify each other interested rights party as required and retain proof of service. If no other party exists, record that only after checking contributors, employers, licensees and assignees. Do not falsely certify that notice was sent.</w:t>
      </w:r>
    </w:p>
    <w:p>
      <w:pPr>
        <w:ind w:left="230" w:hanging="230"/>
      </w:pPr>
      <w:r>
        <w:rPr>
          <w:b w:val="0"/>
        </w:rPr>
        <w:t>8. Confirm the current official fee, correct payee, acceptable payment method, copyright filing address and whether an official online channel accepts software filings. Use only instructions linked from ipo.gov.pk or supplied by the Office. Historical forms and agents’ websites are not payment authority.</w:t>
      </w:r>
    </w:p>
    <w:p>
      <w:pPr>
        <w:ind w:left="230" w:hanging="230"/>
      </w:pPr>
      <w:r>
        <w:rPr>
          <w:b w:val="0"/>
        </w:rPr>
        <w:t>9. Submit the completed official form, statements, accepted deposit, supporting ownership documents and payment proof through the confirmed channel. Keep an identical retained copy, receiving stamp, receipt, diary number and submission date.</w:t>
      </w:r>
    </w:p>
    <w:p>
      <w:pPr>
        <w:ind w:left="230" w:hanging="230"/>
      </w:pPr>
      <w:r>
        <w:rPr>
          <w:b w:val="0"/>
        </w:rPr>
        <w:t>10. Monitor communications. Reply to deficiencies or objections within the period stated in the notice. Keep all correspondence. On receiving the certificate or register extract, verify the work title, applicant, owner, author and recorded facts; seek correction of any mistake.</w:t>
      </w:r>
    </w:p>
    <w:p>
      <w:pPr>
        <w:pStyle w:val="Heading2"/>
      </w:pPr>
      <w:r>
        <w:t>Cost and time expectations</w:t>
      </w:r>
    </w:p>
    <w:p>
      <w:r>
        <w:rPr>
          <w:b w:val="0"/>
        </w:rPr>
        <w:t>No reliable current official software-copyright fee or guaranteed processing duration was verified. Obtain the amount and turnaround directly before paying. The thirty-day objection interval is not a promise of a certificate in thirty days. Ownership questions, incomplete documents and objections can require additional review. [S2]</w:t>
      </w:r>
    </w:p>
    <w:p>
      <w:pPr>
        <w:pStyle w:val="Heading2"/>
      </w:pPr>
      <w:r>
        <w:t>Manual and logo</w:t>
      </w:r>
    </w:p>
    <w:p>
      <w:r>
        <w:rPr>
          <w:b w:val="0"/>
        </w:rPr>
        <w:t>Discuss separate filings for the DPI Studio manual and any original logo rather than treating them automatically as part of the software work. A logo submitted as an artistic work may trigger different procedures, including the advertisement rule. A trademark filing for a logo is also distinct from its artistic copyright registration. [S2]</w:t>
      </w:r>
    </w:p>
    <w:p>
      <w:pPr>
        <w:pStyle w:val="Heading2"/>
      </w:pPr>
      <w:r>
        <w:t>After registration</w:t>
      </w:r>
    </w:p>
    <w:p>
      <w:r>
        <w:rPr>
          <w:b w:val="0"/>
        </w:rPr>
        <w:t>Preserve the exact deposited version, the certificate and assignment records. Record later releases and ask the Office how materially changed versions should be treated. A copyright notice may identify the confirmed rights holder and year, but do not add “registered” before the registration is actually obtained. Registration does not cure inaccurate authorship or ownership statements.</w:t>
      </w:r>
    </w:p>
    <w:p>
      <w:r>
        <w:br w:type="page"/>
      </w:r>
    </w:p>
    <w:p>
      <w:pPr>
        <w:pStyle w:val="Heading1"/>
      </w:pPr>
      <w:r>
        <w:t>Draft Copyright Particulars Worksheet</w:t>
      </w:r>
    </w:p>
    <w:p>
      <w:r>
        <w:rPr>
          <w:b w:val="0"/>
        </w:rPr>
        <w:t>Working information for transfer to the current official Form II. This is not an executed official form. Bracketed fields require evidence or a decision. The order follows the reviewed statement of particulars. [S2]</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Entry</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DPI Studio information or action required</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 Registration number</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Office use only; leave blank</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2 Applicant</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Proposed Dr. Asif Ahmad, subject to title review; [address and nationality]</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 Applicant interest</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[Author owner assignee or another lawful interest; specify evidence]</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4 Class and creation</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Proposed literary work computer program; reviewed snapshot 2026; [confirm actual creation year]</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5 Title</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DPI Studio; identify exact deposited release</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6 Language</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English interface; HTML CSS and JavaScript code</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7 Author details</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[Identify actual human authors addresses nationalities and relevant dates; review AI assistance]</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8 Publication status</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[Published or unpublished after checking distribution and legal meaning]</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9 First publication</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[Year country publisher name address nationality; or not applicable with reason]</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10 Later publication</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[Dates countries publishers and versions; or none after review]</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11 Rights owners</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[Each owner rights share assignment and licence particulars]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12 Authorized dealings</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[Persons authorized to assign or license; or none after review]</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13 Artistic original</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Normally not applicable to proposed software literary filing; verify category</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14 Remarks</w:t>
            </w:r>
          </w:p>
        </w:tc>
        <w:tc>
          <w:tcPr>
            <w:tcW w:type="dxa" w:w="77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Browser utility for 300–600 DPI; AI-assisted development; deposited version and supporting description</w:t>
            </w:r>
          </w:p>
        </w:tc>
      </w:tr>
    </w:tbl>
    <w:p>
      <w:r>
        <w:rPr>
          <w:b w:val="0"/>
        </w:rPr>
      </w:r>
    </w:p>
    <w:p>
      <w:pPr>
        <w:pStyle w:val="Heading2"/>
      </w:pPr>
      <w:r>
        <w:t>Identity and signature fields</w:t>
      </w:r>
    </w:p>
    <w:p>
      <w:r>
        <w:rPr>
          <w:b w:val="0"/>
        </w:rPr>
        <w:t>Applicant full legal name: [complete]   CNIC or other identity where required: [complete]</w:t>
        <w:br/>
        <w:t>Address for correspondence: [complete]</w:t>
        <w:br/>
        <w:t>Telephone and email: [complete]</w:t>
        <w:br/>
        <w:t>Place and date of signature: [complete after final review]</w:t>
      </w:r>
    </w:p>
    <w:p>
      <w:r>
        <w:rPr>
          <w:b w:val="0"/>
        </w:rPr>
        <w:t>Do not treat 14 October 2026, a repository commit or this document’s preparation date as verified first publication. A historical declaration must describe the actual events.</w:t>
      </w:r>
    </w:p>
    <w:p>
      <w:r>
        <w:br w:type="page"/>
      </w:r>
    </w:p>
    <w:p>
      <w:pPr>
        <w:pStyle w:val="Heading1"/>
      </w:pPr>
      <w:r>
        <w:t>Further Particulars and Draft Cover Letter</w:t>
      </w:r>
    </w:p>
    <w:p>
      <w:pPr>
        <w:pStyle w:val="Heading2"/>
      </w:pPr>
      <w:r>
        <w:t>Further particulars working answers</w:t>
      </w:r>
    </w:p>
    <w:p>
      <w:r>
        <w:rPr>
          <w:b w:val="0"/>
        </w:rPr>
        <w:t>Original work or translation or adaptation: [decide after authorship and third-party review]. The intended subject is the particular DPI Studio code and arrangement, not the underlying image-format standards. Record AI assistance and all human edits. Do not preselect “original” without deciding what protectable human expression is being claimed.</w:t>
      </w:r>
    </w:p>
    <w:p>
      <w:r>
        <w:rPr>
          <w:b w:val="0"/>
        </w:rPr>
        <w:t>If the work adapts a protected existing work, identify that work, its language, author and publisher and attach the authorization or licence relied on. If none applies, state not applicable only after reviewing the source and assets. The reviewed program has no imported runtime dependency, but that is not a comprehensive provenance audit. [S2]</w:t>
      </w:r>
    </w:p>
    <w:p>
      <w:pPr>
        <w:pStyle w:val="Heading2"/>
      </w:pPr>
      <w:r>
        <w:t>Draft letter for review and transfer</w:t>
      </w:r>
    </w:p>
    <w:p>
      <w:r>
        <w:rPr>
          <w:b w:val="0"/>
        </w:rPr>
        <w:t>To the Registrar of Copyrights</w:t>
        <w:br/>
        <w:t>IPO-Pakistan Copyright Office</w:t>
        <w:br/>
        <w:t>[Confirm current filing address]</w:t>
      </w:r>
    </w:p>
    <w:p>
      <w:r>
        <w:rPr>
          <w:b w:val="0"/>
        </w:rPr>
        <w:t>Subject: Proposed registration of DPI Studio computer program</w:t>
      </w:r>
    </w:p>
    <w:p>
      <w:r>
        <w:rPr>
          <w:b w:val="0"/>
        </w:rPr>
        <w:t>Dear Registrar,</w:t>
      </w:r>
    </w:p>
    <w:p>
      <w:r>
        <w:rPr>
          <w:b w:val="0"/>
        </w:rPr>
        <w:t>I request registration of the work identified as DPI Studio, release [version or snapshot], in the appropriate computer-program category. My interest in the work is [verified legal basis]. Enclosed are the completed current application form, statements of particulars and further particulars, accepted copies of the work, payment evidence and supporting title documents.</w:t>
      </w:r>
    </w:p>
    <w:p>
      <w:r>
        <w:rPr>
          <w:b w:val="0"/>
        </w:rPr>
        <w:t>The program creates PNG or JPEG copies with selected print-density metadata between 300 and 600 DPI, with optional proportional resizing and local batch export. The application concerns the protectable expression identified in the deposit. AI assistance and the actual human contributions are described in the accompanying development statement.</w:t>
      </w:r>
    </w:p>
    <w:p>
      <w:r>
        <w:rPr>
          <w:b w:val="0"/>
        </w:rPr>
        <w:t>Other interested parties are [names and rights, or none after verification]. Copies of the required notices were sent on [dates and method, where applicable], with evidence enclosed. Please address correspondence to [full address and email].</w:t>
      </w:r>
    </w:p>
    <w:p>
      <w:r>
        <w:rPr>
          <w:b w:val="0"/>
        </w:rPr>
        <w:t>Yours faithfully,</w:t>
        <w:br/>
        <w:t>[Applicant signature]</w:t>
        <w:br/>
        <w:t>[Full legal name]</w:t>
        <w:br/>
        <w:t>[Place and date]</w:t>
      </w:r>
    </w:p>
    <w:p>
      <w:pPr>
        <w:pStyle w:val="Heading2"/>
      </w:pPr>
      <w:r>
        <w:t>Suggested enclosures</w:t>
      </w:r>
    </w:p>
    <w:p>
      <w:r>
        <w:rPr>
          <w:b w:val="0"/>
        </w:rPr>
        <w:t>Official form and statements; accepted software deposit; work description; contribution and ownership record; assignments or NOC where relevant; notice-service evidence; payment proof; identification or authority documents requested by the Office.</w:t>
      </w:r>
    </w:p>
    <w:p>
      <w:r>
        <w:br w:type="page"/>
      </w:r>
    </w:p>
    <w:p>
      <w:pPr>
        <w:pStyle w:val="Heading1"/>
      </w:pPr>
      <w:r>
        <w:t>Draft Development and Ownership Statement</w:t>
      </w:r>
    </w:p>
    <w:p>
      <w:r>
        <w:rPr>
          <w:b w:val="0"/>
        </w:rPr>
        <w:t>Review draft only. This text is not an affidavit already sworn and does not establish ownership. Have counsel replace it with any prescribed Office declaration and confirm stamp paper, attestation and wording before execution.</w:t>
      </w:r>
    </w:p>
    <w:p>
      <w:pPr>
        <w:pStyle w:val="Heading2"/>
      </w:pPr>
      <w:r>
        <w:t>Development statement</w:t>
      </w:r>
    </w:p>
    <w:p>
      <w:r>
        <w:rPr>
          <w:b w:val="0"/>
        </w:rPr>
        <w:t>I, [full legal name], residing at [address], identify the deposited work as DPI Studio, release [identifier]. Dr. Asif Ahmad is credited as project creator. The factual development history is [dates, people and stages]. AI assistance was used through ChatGPT/Codex for [describe tasks]. My personal contributions were [specific design choices, writing, edits or other contributions, with evidence references]. Other human contributions were [identify or explain none].</w:t>
      </w:r>
    </w:p>
    <w:p>
      <w:pPr>
        <w:pStyle w:val="Heading2"/>
      </w:pPr>
      <w:r>
        <w:t>Basis of rights claimed</w:t>
      </w:r>
    </w:p>
    <w:p>
      <w:r>
        <w:rPr>
          <w:b w:val="0"/>
        </w:rPr>
        <w:t>My claimed interest is [state verified author ownership, assignment, employment title or other basis]. Supporting documents are [list]. Any employer, institution, co-author, developer, funder or licensee with an interest is [list and describe]. Institutional permission or assignment is [identify, or explain why not applicable]. I do not rely on the creator credit alone as proof of legal title.</w:t>
      </w:r>
    </w:p>
    <w:p>
      <w:pPr>
        <w:pStyle w:val="Heading2"/>
      </w:pPr>
      <w:r>
        <w:t>Scope and third-party material</w:t>
      </w:r>
    </w:p>
    <w:p>
      <w:r>
        <w:rPr>
          <w:b w:val="0"/>
        </w:rPr>
        <w:t>The claim is confined to the eligible expression and rights lawfully held in the deposited work. PNG, JPEG/JFIF, browser APIs, density calculations and general image-resizing methods are not represented as my proprietary inventions. Third-party materials, if any, and their permissions are [list]. Material created with AI assistance is identified for legal assessment; no unsupported representation of sole manual authorship is made.</w:t>
      </w:r>
    </w:p>
    <w:p>
      <w:pPr>
        <w:pStyle w:val="Heading2"/>
      </w:pPr>
      <w:r>
        <w:t>Publication record and verification</w:t>
      </w:r>
    </w:p>
    <w:p>
      <w:r>
        <w:rPr>
          <w:b w:val="0"/>
        </w:rPr>
        <w:t>First publication or distribution is [verified event or reason for an unpublished designation]. Later distributions are [list]. The attached development records and file identifiers accurately identify the reviewed deposit. Before signing the official declaration, I will resolve all incomplete entries and confirm that each factual assertion is correct.</w:t>
      </w:r>
    </w:p>
    <w:p>
      <w:r>
        <w:rPr>
          <w:b w:val="0"/>
        </w:rPr>
        <w:t>Name: [complete]</w:t>
        <w:br/>
        <w:t>Signature: [sign only after review]</w:t>
        <w:br/>
        <w:t>Place and date: [complete]</w:t>
        <w:br/>
        <w:t>Witness or attestation: [as required by the current official instructions]</w:t>
      </w:r>
    </w:p>
    <w:p>
      <w:pPr>
        <w:pStyle w:val="Heading2"/>
      </w:pPr>
      <w:r>
        <w:t>What must not be signed without proof</w:t>
      </w:r>
    </w:p>
    <w:p>
      <w:r>
        <w:rPr>
          <w:b w:val="0"/>
        </w:rPr>
        <w:t>Do not swear sole ownership, sole inventorship, absence of earlier publication, institutional independence or a worldwide first invention merely to strengthen the application. An accurate narrower statement is preferable to an unsupported broad declaration.</w:t>
      </w:r>
    </w:p>
    <w:p>
      <w:r>
        <w:br w:type="page"/>
      </w:r>
    </w:p>
    <w:p>
      <w:pPr>
        <w:pStyle w:val="Heading1"/>
      </w:pPr>
      <w:r>
        <w:t>Trademark Route for the DPI Studio Name</w:t>
      </w:r>
    </w:p>
    <w:p>
      <w:pPr>
        <w:pStyle w:val="Heading2"/>
      </w:pPr>
      <w:r>
        <w:t>Clearance before an application</w:t>
      </w:r>
    </w:p>
    <w:p>
      <w:r>
        <w:rPr>
          <w:b w:val="0"/>
        </w:rPr>
        <w:t>No trademark availability search has been completed. Search DPI Studio, DPIStudio, similar spellings, similar-sounding marks and related image-software brands. Check the Pakistan registry and relevant market use; a domain search alone is insufficient. The functional wording raises a distinctiveness concern. Consider a more distinctive accompanying brand or logo if advice supports that choice. [S8]</w:t>
      </w:r>
    </w:p>
    <w:p>
      <w:pPr>
        <w:pStyle w:val="Heading2"/>
      </w:pPr>
      <w:r>
        <w:t>Candidate classification for review</w:t>
      </w:r>
    </w:p>
    <w:tbl>
      <w:tblPr>
        <w:tblW w:type="auto" w:w="0"/>
        <w:jc w:val="center"/>
        <w:tblLayout w:type="fixed"/>
        <w:tblLook w:firstColumn="1" w:firstRow="1" w:lastColumn="0" w:lastRow="0" w:noHBand="0" w:noVBand="1" w:val="04A0"/>
      </w:tblPr>
      <w:tblGrid>
        <w:gridCol w:w="2448"/>
        <w:gridCol w:w="1872"/>
        <w:gridCol w:w="5760"/>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Offering</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Class to discuss</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Draft goods or services wording</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Downloadable offline software</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9</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Downloadable computer software for setting image print-density metadata and resizing digital images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Online non-downloadable utility</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42</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Providing temporary use of online non-downloadable software for setting image print density and resizing digital images</w:t>
            </w:r>
          </w:p>
        </w:tc>
      </w:tr>
    </w:tbl>
    <w:p>
      <w:r>
        <w:rPr>
          <w:b w:val="0"/>
        </w:rPr>
      </w:r>
    </w:p>
    <w:p>
      <w:r>
        <w:rPr>
          <w:b w:val="0"/>
        </w:rPr>
        <w:t>These are draft descriptions matched to actual offerings, not approved classifications. Confirm current Nice terms and Pakistan’s accepted wording with the Registry. The online app processes locally, but users access its software through a website. Do not add unrelated services merely to seek wider coverage. [S10]</w:t>
      </w:r>
    </w:p>
    <w:p>
      <w:pPr>
        <w:pStyle w:val="Heading2"/>
      </w:pPr>
      <w:r>
        <w:t>Filing sequence</w:t>
      </w:r>
    </w:p>
    <w:p>
      <w:pPr>
        <w:ind w:left="230" w:hanging="230"/>
      </w:pPr>
      <w:r>
        <w:rPr>
          <w:b w:val="0"/>
        </w:rPr>
        <w:t>1. Confirm the proprietor, exact word mark or graphic mark, address, goods/services and truthful use history. Prepare the actual mark representation for a logo filing.</w:t>
      </w:r>
    </w:p>
    <w:p>
      <w:pPr>
        <w:ind w:left="230" w:hanging="230"/>
      </w:pPr>
      <w:r>
        <w:rPr>
          <w:b w:val="0"/>
        </w:rPr>
        <w:t>2. Seek clearance, including a registry search. The reviewed materials identify TM-55 for search and TM-1 for an ordinary application; confirm the current forms and separate class requirements. [S9]</w:t>
      </w:r>
    </w:p>
    <w:p>
      <w:pPr>
        <w:ind w:left="230" w:hanging="230"/>
      </w:pPr>
      <w:r>
        <w:rPr>
          <w:b w:val="0"/>
        </w:rPr>
        <w:t>3. Use current official filing instructions, attach required representations and authority documents, and pay the confirmed fee. Save the acknowledgement and application number.</w:t>
      </w:r>
    </w:p>
    <w:p>
      <w:pPr>
        <w:ind w:left="230" w:hanging="230"/>
      </w:pPr>
      <w:r>
        <w:rPr>
          <w:b w:val="0"/>
        </w:rPr>
        <w:t>4. Respond to examination issues, monitor Journal publication and opposition, and complete the registration stage and fee if accepted. The reviewed rules identify TM-11 for the registration stage. Calendar the actual deadlines in official notices. [S9]</w:t>
      </w:r>
    </w:p>
    <w:p>
      <w:pPr>
        <w:ind w:left="230" w:hanging="230"/>
      </w:pPr>
      <w:r>
        <w:rPr>
          <w:b w:val="0"/>
        </w:rPr>
        <w:t>5. Check the certificate and arrange renewal. Use registered-mark wording or the registered symbol only after registration for the relevant mark and scope; no registration is claimed here.</w:t>
      </w:r>
    </w:p>
    <w:p>
      <w:r>
        <w:br w:type="page"/>
      </w:r>
    </w:p>
    <w:p>
      <w:pPr>
        <w:pStyle w:val="Heading1"/>
      </w:pPr>
      <w:r>
        <w:t>Patent Requirements and Preparation</w:t>
      </w:r>
    </w:p>
    <w:p>
      <w:pPr>
        <w:pStyle w:val="Heading2"/>
      </w:pPr>
      <w:r>
        <w:t>Why this route is conditional</w:t>
      </w:r>
    </w:p>
    <w:p>
      <w:r>
        <w:rPr>
          <w:b w:val="0"/>
        </w:rPr>
        <w:t>The reviewed Pakistan-specific WIPO guide cautions that computer programs may face patent-eligibility problems and directs applicants to consult the Patent Office or an IP lawyer. It supports copyright as the usual code-protection route. Do not assume that describing ordinary code as a system or adding a computer makes it patentable. [S6]</w:t>
      </w:r>
    </w:p>
    <w:p>
      <w:pPr>
        <w:pStyle w:val="Heading2"/>
      </w:pPr>
      <w:r>
        <w:t>Six questions an agent must answer</w:t>
      </w:r>
    </w:p>
    <w:p>
      <w:pPr>
        <w:ind w:left="202" w:hanging="202"/>
      </w:pPr>
      <w:r>
        <w:rPr>
          <w:b w:val="0"/>
        </w:rPr>
        <w:t>• Is the proposed claim eligible under the legislation currently in force?</w:t>
      </w:r>
    </w:p>
    <w:p>
      <w:pPr>
        <w:ind w:left="202" w:hanging="202"/>
      </w:pPr>
      <w:r>
        <w:rPr>
          <w:b w:val="0"/>
        </w:rPr>
        <w:t>• What exact technical feature is absent from all relevant prior art?</w:t>
      </w:r>
    </w:p>
    <w:p>
      <w:pPr>
        <w:ind w:left="202" w:hanging="202"/>
      </w:pPr>
      <w:r>
        <w:rPr>
          <w:b w:val="0"/>
        </w:rPr>
        <w:t>• Why would that feature or combination not be obvious to a skilled developer?</w:t>
      </w:r>
    </w:p>
    <w:p>
      <w:pPr>
        <w:ind w:left="202" w:hanging="202"/>
      </w:pPr>
      <w:r>
        <w:rPr>
          <w:b w:val="0"/>
        </w:rPr>
        <w:t>• What actual industrial use and reproducible operation are shown?</w:t>
      </w:r>
    </w:p>
    <w:p>
      <w:pPr>
        <w:ind w:left="202" w:hanging="202"/>
      </w:pPr>
      <w:r>
        <w:rPr>
          <w:b w:val="0"/>
        </w:rPr>
        <w:t>• Who are the true human inventors and who has title to apply?</w:t>
      </w:r>
    </w:p>
    <w:p>
      <w:pPr>
        <w:ind w:left="202" w:hanging="202"/>
      </w:pPr>
      <w:r>
        <w:rPr>
          <w:b w:val="0"/>
        </w:rPr>
        <w:t>• Has any earlier public disclosure already affected novelty?</w:t>
      </w:r>
    </w:p>
    <w:p>
      <w:pPr>
        <w:pStyle w:val="Heading2"/>
      </w:pPr>
      <w:r>
        <w:t>Preparation sequence</w:t>
      </w:r>
    </w:p>
    <w:p>
      <w:pPr>
        <w:ind w:left="230" w:hanging="230"/>
      </w:pPr>
      <w:r>
        <w:rPr>
          <w:b w:val="0"/>
        </w:rPr>
        <w:t>1. Give a registered patent agent or appropriately qualified practitioner the code, contribution log, disclosure record and assessment on pages 8–9. Request a written go/no-go opinion before full drafting costs.</w:t>
      </w:r>
    </w:p>
    <w:p>
      <w:pPr>
        <w:ind w:left="230" w:hanging="230"/>
      </w:pPr>
      <w:r>
        <w:rPr>
          <w:b w:val="0"/>
        </w:rPr>
        <w:t>2. Resolve inventorship and ownership. If an institution or employer may hold rights, involve its responsible office and obtain the documents needed. An inventor should not be named merely because they funded or commissioned the project.</w:t>
      </w:r>
    </w:p>
    <w:p>
      <w:pPr>
        <w:ind w:left="230" w:hanging="230"/>
      </w:pPr>
      <w:r>
        <w:rPr>
          <w:b w:val="0"/>
        </w:rPr>
        <w:t>3. Complete a claim-focused worldwide prior-art search. If no defensible technical difference remains, stop the patent route and continue with copyright and brand protection.</w:t>
      </w:r>
    </w:p>
    <w:p>
      <w:pPr>
        <w:ind w:left="230" w:hanging="230"/>
      </w:pPr>
      <w:r>
        <w:rPr>
          <w:b w:val="0"/>
        </w:rPr>
        <w:t>4. Prepare an enabling description of the actual eligible contribution, supporting drawings where useful, an abstract and claims. Pages 18–19 supply factual starting material; they do not supply missing novelty.</w:t>
      </w:r>
    </w:p>
    <w:p>
      <w:pPr>
        <w:ind w:left="230" w:hanging="230"/>
      </w:pPr>
      <w:r>
        <w:rPr>
          <w:b w:val="0"/>
        </w:rPr>
        <w:t>5. For an ordinary national filing, the reviewed rules identify P-1 where the inventor is an applicant and P-1A where an assignee applies without the inventor as applicant. P-3 accompanies a provisional specification; P-3A a complete one. Agent authority uses P-28. Verify current versions. [S4]</w:t>
      </w:r>
    </w:p>
    <w:p>
      <w:pPr>
        <w:ind w:left="230" w:hanging="230"/>
      </w:pPr>
      <w:r>
        <w:rPr>
          <w:b w:val="0"/>
        </w:rPr>
        <w:t>6. For a priority claim based on an earlier foreign filing, ask counsel about P-2 or P-2A, certified priority records and the applicable twelve-month period. This is not a requirement for every first Pakistani application. [S3, S5]</w:t>
      </w:r>
    </w:p>
    <w:p>
      <w:r>
        <w:br w:type="page"/>
      </w:r>
    </w:p>
    <w:p>
      <w:pPr>
        <w:pStyle w:val="Heading1"/>
      </w:pPr>
      <w:r>
        <w:t>Patent Submission Examination and Deadlines</w:t>
      </w:r>
    </w:p>
    <w:p>
      <w:pPr>
        <w:ind w:left="230" w:hanging="230"/>
      </w:pPr>
      <w:r>
        <w:rPr>
          <w:b w:val="0"/>
        </w:rPr>
        <w:t>7. Convert the description to official filing format. The reviewed rules require English, white A4 paper, separate starting sheets for description, claims, drawings and abstract, legible black printing and at least 1.5 line spacing. Text margins are at least 2 cm top right bottom and 2.5 cm left; drawings have separate rules. This guide is Letter size and is not itself a formal specification. [S4]</w:t>
      </w:r>
    </w:p>
    <w:p>
      <w:pPr>
        <w:ind w:left="230" w:hanging="230"/>
      </w:pPr>
      <w:r>
        <w:rPr>
          <w:b w:val="0"/>
        </w:rPr>
        <w:t>8. Confirm the current fee and submission channel. The older IPO guide lists duplicate application/specification copies and paper delivery. Confirm current intake, copies, media and payee before use. Obtain the filing receipt and correct filing date; do not rely on an unconfirmed online submission. [S5]</w:t>
      </w:r>
    </w:p>
    <w:p>
      <w:pPr>
        <w:ind w:left="230" w:hanging="230"/>
      </w:pPr>
      <w:r>
        <w:rPr>
          <w:b w:val="0"/>
        </w:rPr>
        <w:t>9. If provisional material is used, file the supported complete specification within the applicable period. A provisional filing is not a grant and does not make disclosed or obvious material patentable. Do not add unsupported matter while claiming the original date.</w:t>
      </w:r>
    </w:p>
    <w:p>
      <w:pPr>
        <w:ind w:left="230" w:hanging="230"/>
      </w:pPr>
      <w:r>
        <w:rPr>
          <w:b w:val="0"/>
        </w:rPr>
        <w:t>10. Follow examination, respond to objections and obtain advice before changing claims. On acceptance, monitor publication and any opposition. Complete the required grant/sealing steps and payment. Maintain a docket of every official notice and response date.</w:t>
      </w:r>
    </w:p>
    <w:p>
      <w:pPr>
        <w:ind w:left="230" w:hanging="230"/>
      </w:pPr>
      <w:r>
        <w:rPr>
          <w:b w:val="0"/>
        </w:rPr>
        <w:t>11. Only describe a patent as granted after the actual grant. Pending wording should identify a real filed application, accurately and within legal advice. A failed novelty test cannot be repaired by marketing language.</w:t>
      </w:r>
    </w:p>
    <w:p>
      <w:pPr>
        <w:ind w:left="230" w:hanging="230"/>
      </w:pPr>
      <w:r>
        <w:rPr>
          <w:b w:val="0"/>
        </w:rPr>
        <w:t>12. After grant, verify inventor and owner records, protect the granted scope and pay required renewal fees. A patentability search does not replace a separate freedom-to-operate assessment.</w:t>
      </w:r>
    </w:p>
    <w:tbl>
      <w:tblPr>
        <w:tblW w:type="auto" w:w="0"/>
        <w:jc w:val="center"/>
        <w:tblLayout w:type="fixed"/>
        <w:tblLook w:firstColumn="1" w:firstRow="1" w:lastColumn="0" w:lastRow="0" w:noHBand="0" w:noVBand="1" w:val="04A0"/>
      </w:tblPr>
      <w:tblGrid>
        <w:gridCol w:w="4752"/>
        <w:gridCol w:w="5328"/>
      </w:tblGrid>
      <w:tr>
        <w:trPr>
          <w:cantSplit/>
          <w:tblHeader/>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Event</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Period in the reviewed legal materials</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Complete specification after provisional</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12 months from the application</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Examination and acceptance framework</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18-month provisions with specified extension/postponement rules</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Opposition to advertised acceptance</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4 months</w:t>
            </w:r>
          </w:p>
        </w:tc>
      </w:tr>
      <w:tr>
        <w:trPr>
          <w:cantSplit/>
        </w:trP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Patent term</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20 years from filing; maintenance required</w:t>
            </w:r>
          </w:p>
        </w:tc>
      </w:tr>
    </w:tbl>
    <w:p>
      <w:r>
        <w:rPr>
          <w:b w:val="0"/>
        </w:rPr>
      </w:r>
    </w:p>
    <w:p>
      <w:r>
        <w:rPr>
          <w:b w:val="0"/>
        </w:rPr>
        <w:t>These periods summarize the retrieved statutory framework. Have the agent check amendments, triggering dates, extensions and current practice, then calendar the exact deadlines. They are not promised service times. Do not assume that the familiar eighteen-month publication model of another country applies. [S3]</w:t>
      </w:r>
    </w:p>
    <w:p>
      <w:r>
        <w:br w:type="page"/>
      </w:r>
    </w:p>
    <w:p>
      <w:pPr>
        <w:pStyle w:val="Heading1"/>
      </w:pPr>
      <w:r>
        <w:t>Technical Description for Patent Review</w:t>
      </w:r>
    </w:p>
    <w:p>
      <w:r>
        <w:rPr>
          <w:b w:val="0"/>
        </w:rPr>
        <w:t>Discussion draft based on the current code. No patentability is asserted. For an application, counsel must isolate a supported eligible contribution and adapt the format, scope and prior-art discussion.</w:t>
      </w:r>
    </w:p>
    <w:p>
      <w:pPr>
        <w:pStyle w:val="Heading2"/>
      </w:pPr>
      <w:r>
        <w:t>Proposed technical title</w:t>
      </w:r>
    </w:p>
    <w:p>
      <w:r>
        <w:rPr>
          <w:b w:val="0"/>
        </w:rPr>
        <w:t>Local Browser Image Export with Verified Print Density Metadata</w:t>
      </w:r>
    </w:p>
    <w:p>
      <w:pPr>
        <w:pStyle w:val="Heading2"/>
      </w:pPr>
      <w:r>
        <w:t>Field and practical problem</w:t>
      </w:r>
    </w:p>
    <w:p>
      <w:r>
        <w:rPr>
          <w:b w:val="0"/>
        </w:rPr>
        <w:t>The implementation concerns digital image export and print-density metadata. A user may require an image with a specified density and optionally a specified print width. A canvas-generated image may encode density different from that selected by the user; browser documentation describes a 96 DPI export convention. DPI Studio addresses this workflow by writing format-specific density after encoding and verifying readback. This problem and solution description does not establish a new technical principle. [S14]</w:t>
      </w:r>
    </w:p>
    <w:p>
      <w:pPr>
        <w:pStyle w:val="Heading2"/>
      </w:pPr>
      <w:r>
        <w:t>Background and summary</w:t>
      </w:r>
    </w:p>
    <w:p>
      <w:r>
        <w:rPr>
          <w:b w:val="0"/>
        </w:rPr>
        <w:t>Density fields and resampling are established in image standards and software. The present implementation combines a local selection interface, a 300–600 DPI validator, a dimension planner, browser canvas rendering, PNG or JPEG encoding, a density writer, a reader and a download stage. Its implemented check suppresses the image download when density is missing or differs from the target by more than 0.02 DPI. [S12–S15]</w:t>
      </w:r>
    </w:p>
    <w:p>
      <w:pPr>
        <w:pStyle w:val="Heading2"/>
      </w:pPr>
      <w:r>
        <w:t>Detailed embodiment</w:t>
      </w:r>
    </w:p>
    <w:p>
      <w:r>
        <w:rPr>
          <w:b w:val="0"/>
        </w:rPr>
        <w:t>Let source dimensions be W and H, target density d, print width u, and width unit inches or centimeters. Keep mode retains W and H. Resize mode converts u to inches if necessary, computes Wout = max(1, round(u × d)), then Hout = max(1, round(Wout × H ÷ W)). The planner rejects excessive output dimensions. The canvas renders at Wout and Hout; JPEG receives a white fill before drawing. The encoder creates a fresh file, the writer patches its standard density fields, and the reader verifies density before download.</w:t>
      </w:r>
    </w:p>
    <w:p>
      <w:r>
        <w:rPr>
          <w:b w:val="0"/>
        </w:rPr>
        <w:t>For a 1800 × 1200 source, keep mode at 600 DPI implies a 3 × 2 inch print. Resize mode for 6 inches at 600 DPI computes 3600 × 2400 pixels. Extra pixels are interpolated; no missing-detail recovery is claimed.</w:t>
      </w:r>
    </w:p>
    <w:p>
      <w:pPr>
        <w:pStyle w:val="Heading2"/>
      </w:pPr>
      <w:r>
        <w:t>Components for a drawing if an agent requests one</w:t>
      </w:r>
    </w:p>
    <w:p>
      <w:r>
        <w:rPr>
          <w:b w:val="0"/>
        </w:rPr>
        <w:t>Use consistent references: 101 file selection; 102 validation and decode; 103 dimension planning; 104 canvas and encoding; 105 metadata writer; 106 readback check; 107 individual download; 108 sequential batch and ZIP. A diagram should show the failed-check path suppressing output. This is a drawing brief, not a submitted drawing.</w:t>
      </w:r>
    </w:p>
    <w:p>
      <w:r>
        <w:br w:type="page"/>
      </w:r>
    </w:p>
    <w:p>
      <w:pPr>
        <w:pStyle w:val="Heading1"/>
      </w:pPr>
      <w:r>
        <w:t>Abstract and Illustrative Claims for Review</w:t>
      </w:r>
    </w:p>
    <w:p>
      <w:pPr>
        <w:pStyle w:val="Heading2"/>
      </w:pPr>
      <w:r>
        <w:t>Draft abstract of current implementation</w:t>
      </w:r>
    </w:p>
    <w:p>
      <w:r>
        <w:rPr>
          <w:b w:val="0"/>
        </w:rPr>
        <w:t>Local Browser Image Export with Verified Print Density Metadata. A browser application receives selected still images and a target print density between 300 and 600 DPI. A dimension planner retains source pixel dimensions or derives proportional dimensions from a print width. A canvas encodes a PNG or JPEG image. A writer inserts PNG physical-density metadata or updates or inserts JPEG JFIF density fields. A reader checks the encoded output density against the selected value before initiating a download. Batch outputs are prepared sequentially and stored in a ZIP archive. A standalone HTML embodiment operates locally without an image-upload service. The method uses standard interpolation and metadata conventions.</w:t>
      </w:r>
    </w:p>
    <w:p>
      <w:pPr>
        <w:pStyle w:val="Heading2"/>
      </w:pPr>
      <w:r>
        <w:t>Illustrative claim language</w:t>
      </w:r>
    </w:p>
    <w:p>
      <w:r>
        <w:rPr>
          <w:b w:val="0"/>
        </w:rPr>
        <w:t>These claims describe known implemented steps and may lack eligible subject matter, novelty or inventive step. They are drafting examples, not a recommendation to file broad claims. No claim has been cleared by a search. Claims in a real application must start on their own sheet and be reviewed by the agent. [S4]</w:t>
      </w:r>
    </w:p>
    <w:p>
      <w:pPr>
        <w:ind w:left="230" w:hanging="230"/>
      </w:pPr>
      <w:r>
        <w:rPr>
          <w:b w:val="0"/>
        </w:rPr>
        <w:t>1. A computer-implemented method of exporting a selected still image, comprising receiving an integer print-density value from 300 to 600, determining output pixel dimensions, encoding the image using a browser canvas, writing density metadata into the encoded PNG or JPEG output, reading density from the output, and initiating an image download only when the read density differs from the received value by no more than 0.02 DPI.</w:t>
      </w:r>
    </w:p>
    <w:p>
      <w:pPr>
        <w:ind w:left="230" w:hanging="230"/>
      </w:pPr>
      <w:r>
        <w:rPr>
          <w:b w:val="0"/>
        </w:rPr>
        <w:t>2. The method of claim 1, wherein the output dimensions are retained from the decoded source or derived from a print width and the received density while preserving the source aspect ratio.</w:t>
      </w:r>
    </w:p>
    <w:p>
      <w:pPr>
        <w:ind w:left="230" w:hanging="230"/>
      </w:pPr>
      <w:r>
        <w:rPr>
          <w:b w:val="0"/>
        </w:rPr>
        <w:t>3. The method of claim 1, wherein PNG output receives a pHYs chunk containing equal rounded horizontal and vertical pixels-per-meter values and a checksum over the chunk type and payload.</w:t>
      </w:r>
    </w:p>
    <w:p>
      <w:pPr>
        <w:ind w:left="230" w:hanging="230"/>
      </w:pPr>
      <w:r>
        <w:rPr>
          <w:b w:val="0"/>
        </w:rPr>
        <w:t>4. The method of claim 1, wherein JPEG output receives JFIF density fields with inch units, by updating an existing JFIF record or inserting a JFIF record.</w:t>
      </w:r>
    </w:p>
    <w:p>
      <w:pPr>
        <w:ind w:left="230" w:hanging="230"/>
      </w:pPr>
      <w:r>
        <w:rPr>
          <w:b w:val="0"/>
        </w:rPr>
        <w:t>5. The method of claim 1, wherein multiple image outputs are processed sequentially and packaged in a ZIP archive within an accumulated image-byte limit.</w:t>
      </w:r>
    </w:p>
    <w:p>
      <w:pPr>
        <w:pStyle w:val="Heading2"/>
      </w:pPr>
      <w:r>
        <w:t>Missing patent case</w:t>
      </w:r>
    </w:p>
    <w:p>
      <w:r>
        <w:rPr>
          <w:b w:val="0"/>
        </w:rPr>
        <w:t>A viable application would need a supported distinguishing technical limitation and a defensible explanation of non-obviousness. This dossier supplies neither an unimplemented invention nor a fabricated benchmark. If that limitation cannot be established, do not proceed with these illustrative claims as if they were patent-ready.</w:t>
      </w:r>
    </w:p>
    <w:p>
      <w:r>
        <w:br w:type="page"/>
      </w:r>
    </w:p>
    <w:p>
      <w:pPr>
        <w:pStyle w:val="Heading1"/>
      </w:pPr>
      <w:r>
        <w:t>Fees Contacts and Questions for IPO</w:t>
      </w:r>
    </w:p>
    <w:p>
      <w:pPr>
        <w:pStyle w:val="Heading2"/>
      </w:pPr>
      <w:r>
        <w:t>Obtain a written fee confirmation</w:t>
      </w:r>
    </w:p>
    <w:p>
      <w:r>
        <w:rPr>
          <w:b w:val="0"/>
        </w:rPr>
        <w:t>A current official fee schedule could not be verified. Older legal schedules and filing guides contain amounts that may be superseded; internet agent quotations conflict. No rupee amount in those materials is adopted here as a current fee. Ask for separate government fees and professional charges, including each filing stage, extra pages or claims, grants, searches, renewals and taxes where applicable.</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Route</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Amounts and instructions to request</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Copyright</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Computer-program application fee; extra-work filings; accepted deposit and payment method</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Trademark</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Search application registration and renewal fees per class; representation requirements</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Patent</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Provisional or complete filing; excess sheets and claims; search sealing and renewal fees</w:t>
            </w:r>
          </w:p>
        </w:tc>
      </w:tr>
    </w:tbl>
    <w:p>
      <w:r>
        <w:rPr>
          <w:b w:val="0"/>
        </w:rPr>
      </w:r>
    </w:p>
    <w:p>
      <w:pPr>
        <w:pStyle w:val="Heading2"/>
      </w:pPr>
      <w:r>
        <w:t>Official starting points</w:t>
      </w:r>
    </w:p>
    <w:p>
      <w:r>
        <w:rPr>
          <w:b w:val="0"/>
        </w:rPr>
        <w:t>IPO-Pakistan: https://ipo.gov.pk. WIPO’s country directory lists the general contact as info@ipo.gov.pk and (+92) 51 9245830, with headquarters at 3rd Floor, NTC-HQs Building, Attaturk Avenue East, Sector G-5/2, Islamabad. [S7]</w:t>
      </w:r>
    </w:p>
    <w:p>
      <w:r>
        <w:rPr>
          <w:b w:val="0"/>
        </w:rPr>
        <w:t>The same directory lists patent@ipo.gov.pk, (92 21) 99 230 591, and the Patent Office at Plot ST 1 &amp; 2, New Broad Casting House, Ground Floor, behind KDA Civic Center, Block 14, Gulshan-e-Iqbal, Karachi 75300. Confirm before visiting or posting. The older IPO guide lists a different Karachi address; do not use that old address without confirmation. The current copyright intake address was not verified. [S7]</w:t>
      </w:r>
    </w:p>
    <w:p>
      <w:pPr>
        <w:pStyle w:val="Heading2"/>
      </w:pPr>
      <w:r>
        <w:t>Draft enquiry to send yourself</w:t>
      </w:r>
    </w:p>
    <w:p>
      <w:r>
        <w:rPr>
          <w:b w:val="0"/>
        </w:rPr>
        <w:t>Subject: DPI Studio software registration requirements</w:t>
      </w:r>
    </w:p>
    <w:p>
      <w:r>
        <w:rPr>
          <w:b w:val="0"/>
        </w:rPr>
        <w:t>I wish to prepare registration of DPI Studio, an AI-assisted browser computer program credited to Dr. Asif Ahmad. Please provide the current software-copyright checklist, Form II package, fee schedule, payment instructions, accepted source-code deposit and media, copy count, attestation requirements, filing address and available official online channel. Please also advise how to document AI assistance and human contributions.</w:t>
      </w:r>
    </w:p>
    <w:p>
      <w:r>
        <w:rPr>
          <w:b w:val="0"/>
        </w:rPr>
        <w:t>For a possible technical patent review, please confirm current computer-program eligibility guidance, forms, fees and intake procedures. Please direct the enquiry to the relevant copyright and patent officers. My contact details are [complete].</w:t>
      </w:r>
    </w:p>
    <w:p>
      <w:r>
        <w:rPr>
          <w:b w:val="0"/>
        </w:rPr>
        <w:t>This enquiry has not been sent. Never pay a private site simply because its name resembles IPO; verify the government domain and the payment instruction.</w:t>
      </w:r>
    </w:p>
    <w:p>
      <w:r>
        <w:br w:type="page"/>
      </w:r>
    </w:p>
    <w:p>
      <w:pPr>
        <w:pStyle w:val="Heading1"/>
      </w:pPr>
      <w:r>
        <w:t>Evidence Archive and Completion Checklist</w:t>
      </w:r>
    </w:p>
    <w:p>
      <w:pPr>
        <w:pStyle w:val="Heading2"/>
      </w:pPr>
      <w:r>
        <w:t>Companion evidence archive</w:t>
      </w:r>
    </w:p>
    <w:p>
      <w:r>
        <w:rPr>
          <w:b w:val="0"/>
        </w:rPr>
        <w:t>DPI_Studio_Source_Evidence_2026_10_14.zip contains the reviewed source, offline app, README, tests and non-personal fixture files, with a SHA-256 manifest and a README explaining scope. It is a review archive for you and your adviser. It is not an IPO-approved deposit, a certified timestamp, proof of legal authorship or a patent search result.</w:t>
      </w:r>
    </w:p>
    <w:p>
      <w:pPr>
        <w:pStyle w:val="Heading2"/>
      </w:pPr>
      <w:r>
        <w:t>Evidence record</w:t>
      </w:r>
    </w:p>
    <w:p>
      <w:r>
        <w:rPr>
          <w:b w:val="0"/>
        </w:rPr>
        <w:t>The repository records commit 627383e dated 14 October 2026. Preserve the full development and distribution history as available. Commit metadata and hashes identify files and support version comparison; they do not independently prove who invented or authored the work, whether it was original, or when it first became public.</w:t>
      </w:r>
    </w:p>
    <w:tbl>
      <w:tblPr>
        <w:tblW w:type="auto" w:w="0"/>
        <w:jc w:val="center"/>
        <w:tblLayout w:type="fixed"/>
        <w:tblLook w:firstColumn="1" w:firstRow="1" w:lastColumn="0" w:lastRow="0" w:noHBand="0" w:noVBand="1" w:val="04A0"/>
      </w:tblPr>
      <w:tblGrid>
        <w:gridCol w:w="5400"/>
        <w:gridCol w:w="4680"/>
      </w:tblGrid>
      <w:tr>
        <w:trPr>
          <w:cantSplit/>
          <w:tblHeader/>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Required decision or record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Current state</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Creator credit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Dr. Asif Ahmad requested and recorded</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Legal claimant and actual human authors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To confirm</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Creation and first publication history</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To confirm</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Institutional rights and assignments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To review where applicable</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AI assistance and provenance record</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To complete with actual human contributions</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Source description and version archive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Prepared</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Live-browser demonstration and output check</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To capture on applicant computer</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Current forms fees media and intake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To confirm with IPO</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Trademark clearance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Not completed</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Claim-focused patent search and eligibility opinion</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Not completed</w:t>
            </w:r>
          </w:p>
        </w:tc>
      </w:tr>
      <w:tr>
        <w:trPr>
          <w:cantSplit/>
        </w:trPr>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Identity signature and declarations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Applicant to complete after review</w:t>
            </w:r>
          </w:p>
        </w:tc>
      </w:tr>
    </w:tbl>
    <w:p>
      <w:r>
        <w:rPr>
          <w:b w:val="0"/>
        </w:rPr>
      </w:r>
    </w:p>
    <w:p>
      <w:pPr>
        <w:pStyle w:val="Heading2"/>
      </w:pPr>
      <w:r>
        <w:t>Final file check before submission</w:t>
      </w:r>
    </w:p>
    <w:p>
      <w:pPr>
        <w:ind w:left="202" w:hanging="202"/>
      </w:pPr>
      <w:r>
        <w:rPr>
          <w:b w:val="0"/>
        </w:rPr>
        <w:t>• Every bracketed field has a verified answer or an explained not-applicable entry.</w:t>
      </w:r>
    </w:p>
    <w:p>
      <w:pPr>
        <w:ind w:left="202" w:hanging="202"/>
      </w:pPr>
      <w:r>
        <w:rPr>
          <w:b w:val="0"/>
        </w:rPr>
        <w:t>• Names and work titles match across forms deposits letters and payment proof.</w:t>
      </w:r>
    </w:p>
    <w:p>
      <w:pPr>
        <w:ind w:left="202" w:hanging="202"/>
      </w:pPr>
      <w:r>
        <w:rPr>
          <w:b w:val="0"/>
        </w:rPr>
        <w:t>• Copyright claims identify eligible expression and a documented rights basis.</w:t>
      </w:r>
    </w:p>
    <w:p>
      <w:pPr>
        <w:ind w:left="202" w:hanging="202"/>
      </w:pPr>
      <w:r>
        <w:rPr>
          <w:b w:val="0"/>
        </w:rPr>
        <w:t>• Any patent specification follows A4 requirements and describes an actual supported invention.</w:t>
      </w:r>
    </w:p>
    <w:p>
      <w:pPr>
        <w:ind w:left="202" w:hanging="202"/>
      </w:pPr>
      <w:r>
        <w:rPr>
          <w:b w:val="0"/>
        </w:rPr>
        <w:t>• Required copies notices authority documents and current fees are included.</w:t>
      </w:r>
    </w:p>
    <w:p>
      <w:pPr>
        <w:ind w:left="202" w:hanging="202"/>
      </w:pPr>
      <w:r>
        <w:rPr>
          <w:b w:val="0"/>
        </w:rPr>
        <w:t>• The retained submission copy and receipt are stored safely.</w:t>
      </w:r>
    </w:p>
    <w:p>
      <w:r>
        <w:rPr>
          <w:b w:val="0"/>
        </w:rPr>
        <w:t>Once these items are complete, use the official filing channel. Do not send the entire dossier as a substitute for the official forms or treat the evidence ZIP as automatically acceptable.</w:t>
      </w:r>
    </w:p>
    <w:p>
      <w:r>
        <w:br w:type="page"/>
      </w:r>
    </w:p>
    <w:p>
      <w:pPr>
        <w:pStyle w:val="Heading1"/>
      </w:pPr>
      <w:r>
        <w:t>Sources for Legal and Filing Requirements</w:t>
      </w:r>
    </w:p>
    <w:p>
      <w:r>
        <w:rPr>
          <w:b w:val="0"/>
        </w:rPr>
        <w:t>References checked on 14 October 2026. Bracketed source codes in the text point to these links. Primary laws and standards provide the main evidence. Current filing practice must still be confirmed where stated.</w:t>
      </w:r>
    </w:p>
    <w:p>
      <w:r>
        <w:rPr>
          <w:b/>
        </w:rPr>
        <w:t>S1  Copyright Ordinance 1962 as amended through the displayed text</w:t>
      </w:r>
    </w:p>
    <w:p>
      <w:hyperlink r:id="rId11">
        <w:r>
          <w:rPr>
            <w:color w:val="24597A"/>
          </w:rPr>
          <w:t>Open source S1</w:t>
        </w:r>
      </w:hyperlink>
    </w:p>
    <w:p>
      <w:r>
        <w:rPr>
          <w:b w:val="0"/>
        </w:rPr>
        <w:t>Sections 2(p), 10, 13–15, 18 and 39–42; program classification, ownership, term and registration evidence.</w:t>
      </w:r>
    </w:p>
    <w:p>
      <w:r>
        <w:rPr>
          <w:b/>
        </w:rPr>
        <w:t>S2  Copyright Rules 1967 displayed version amended in 2002</w:t>
      </w:r>
    </w:p>
    <w:p>
      <w:hyperlink r:id="rId12">
        <w:r>
          <w:rPr>
            <w:color w:val="24597A"/>
          </w:rPr>
          <w:t>Open source S2</w:t>
        </w:r>
      </w:hyperlink>
    </w:p>
    <w:p>
      <w:r>
        <w:rPr>
          <w:b w:val="0"/>
        </w:rPr>
        <w:t>Rule 4 and Form II; particulars, interested-party notices, objections and artistic-work advertisement.</w:t>
      </w:r>
    </w:p>
    <w:p>
      <w:r>
        <w:rPr>
          <w:b/>
        </w:rPr>
        <w:t>S3  Patents Ordinance 2000 displayed text amended in 2002</w:t>
      </w:r>
    </w:p>
    <w:p>
      <w:hyperlink r:id="rId13">
        <w:r>
          <w:rPr>
            <w:color w:val="24597A"/>
          </w:rPr>
          <w:t>Open source S3</w:t>
        </w:r>
      </w:hyperlink>
    </w:p>
    <w:p>
      <w:r>
        <w:rPr>
          <w:b w:val="0"/>
        </w:rPr>
        <w:t>Sections 7–16, 23 and 31–32. WIPO flags the 2010 and 2016 amendments as not consolidated.</w:t>
      </w:r>
    </w:p>
    <w:p>
      <w:r>
        <w:rPr>
          <w:b/>
        </w:rPr>
        <w:t>S4  Patents Rules 2003</w:t>
      </w:r>
    </w:p>
    <w:p>
      <w:hyperlink r:id="rId14">
        <w:r>
          <w:rPr>
            <w:color w:val="24597A"/>
          </w:rPr>
          <w:t>Open source S4</w:t>
        </w:r>
      </w:hyperlink>
    </w:p>
    <w:p>
      <w:r>
        <w:rPr>
          <w:b w:val="0"/>
        </w:rPr>
        <w:t>Rules 5 and 7–11, forms and specifications. Historical fee schedule is not used as current.</w:t>
      </w:r>
    </w:p>
    <w:p>
      <w:r>
        <w:rPr>
          <w:b/>
        </w:rPr>
        <w:t>S5  IPO authored Patent Filing Guidelines in Pakistan hosted by UVAS</w:t>
      </w:r>
    </w:p>
    <w:p>
      <w:hyperlink r:id="rId15">
        <w:r>
          <w:rPr>
            <w:color w:val="24597A"/>
          </w:rPr>
          <w:t>Open source S5</w:t>
        </w:r>
      </w:hyperlink>
    </w:p>
    <w:p>
      <w:r>
        <w:rPr>
          <w:b w:val="0"/>
        </w:rPr>
        <w:t>Historical filing checklist, provisional and complete forms. Addresses and fees need reconfirmation.</w:t>
      </w:r>
    </w:p>
    <w:p>
      <w:r>
        <w:rPr>
          <w:b/>
        </w:rPr>
        <w:t>S6  WIPO and Pakistan guide Inventing the Future</w:t>
      </w:r>
    </w:p>
    <w:p>
      <w:hyperlink r:id="rId16">
        <w:r>
          <w:rPr>
            <w:color w:val="24597A"/>
          </w:rPr>
          <w:t>Open source S6</w:t>
        </w:r>
      </w:hyperlink>
    </w:p>
    <w:p>
      <w:r>
        <w:rPr>
          <w:b w:val="0"/>
        </w:rPr>
        <w:t>Pakistan software-patent caution, copyright alternative and patent preparation principles.</w:t>
      </w:r>
    </w:p>
    <w:p>
      <w:r>
        <w:rPr>
          <w:b/>
        </w:rPr>
        <w:t>S7  WIPO Pakistan IP office contact directory</w:t>
      </w:r>
    </w:p>
    <w:p>
      <w:hyperlink r:id="rId17">
        <w:r>
          <w:rPr>
            <w:color w:val="24597A"/>
          </w:rPr>
          <w:t>Open source S7</w:t>
        </w:r>
      </w:hyperlink>
    </w:p>
    <w:p>
      <w:r>
        <w:rPr>
          <w:b w:val="0"/>
        </w:rPr>
        <w:t>Official directory of IPO headquarters and Patent Office contacts; confirm before travel or posting.</w:t>
      </w:r>
    </w:p>
    <w:p>
      <w:r>
        <w:rPr>
          <w:b/>
        </w:rPr>
        <w:t>S8  Pakistan Code Trade Marks Ordinance 2001 with displayed amendments</w:t>
      </w:r>
    </w:p>
    <w:p>
      <w:hyperlink r:id="rId18">
        <w:r>
          <w:rPr>
            <w:color w:val="24597A"/>
          </w:rPr>
          <w:t>Open source S8</w:t>
        </w:r>
      </w:hyperlink>
    </w:p>
    <w:p>
      <w:r>
        <w:rPr>
          <w:b w:val="0"/>
        </w:rPr>
        <w:t>Distinctiveness, refusal grounds, registration and renewal; includes 2023 amendment references.</w:t>
      </w:r>
    </w:p>
    <w:p>
      <w:r>
        <w:br w:type="page"/>
      </w:r>
    </w:p>
    <w:p>
      <w:pPr>
        <w:pStyle w:val="Heading1"/>
      </w:pPr>
      <w:r>
        <w:t>Technical Sources and Final Action Plan</w:t>
      </w:r>
    </w:p>
    <w:p>
      <w:r>
        <w:rPr>
          <w:b/>
        </w:rPr>
        <w:t>S9  Trade Marks Rules 2004</w:t>
      </w:r>
    </w:p>
    <w:p>
      <w:hyperlink r:id="rId19">
        <w:r>
          <w:rPr>
            <w:color w:val="24597A"/>
          </w:rPr>
          <w:t>Open source S9</w:t>
        </w:r>
      </w:hyperlink>
    </w:p>
    <w:p>
      <w:r>
        <w:rPr>
          <w:b w:val="0"/>
        </w:rPr>
        <w:t>TM-1, TM-55, TM-11 and procedural stages. Confirm current forms and fees.</w:t>
      </w:r>
    </w:p>
    <w:p>
      <w:r>
        <w:rPr>
          <w:b/>
        </w:rPr>
        <w:t>S10  WIPO Nice Classification</w:t>
      </w:r>
    </w:p>
    <w:p>
      <w:hyperlink r:id="rId20">
        <w:r>
          <w:rPr>
            <w:color w:val="24597A"/>
          </w:rPr>
          <w:t>Open source S10</w:t>
        </w:r>
      </w:hyperlink>
    </w:p>
    <w:p>
      <w:r>
        <w:rPr>
          <w:b w:val="0"/>
        </w:rPr>
        <w:t>Confirm the current Class 9 downloadable-software and Class 42 online-software wording for actual offerings.</w:t>
      </w:r>
    </w:p>
    <w:p>
      <w:r>
        <w:rPr>
          <w:b/>
        </w:rPr>
        <w:t>S11  Pakistan Code Patents Ordinance record</w:t>
      </w:r>
    </w:p>
    <w:p>
      <w:hyperlink r:id="rId21">
        <w:r>
          <w:rPr>
            <w:color w:val="24597A"/>
          </w:rPr>
          <w:t>Open source S11</w:t>
        </w:r>
      </w:hyperlink>
    </w:p>
    <w:p>
      <w:r>
        <w:rPr>
          <w:b w:val="0"/>
        </w:rPr>
        <w:t>Government law record and Gazette retrieval route; use the Gazette to resolve amendment questions.</w:t>
      </w:r>
    </w:p>
    <w:p>
      <w:r>
        <w:rPr>
          <w:b/>
        </w:rPr>
        <w:t>S12  W3C PNG Specification Second Edition</w:t>
      </w:r>
    </w:p>
    <w:p>
      <w:hyperlink r:id="rId22">
        <w:r>
          <w:rPr>
            <w:color w:val="24597A"/>
          </w:rPr>
          <w:t>Open source S12</w:t>
        </w:r>
      </w:hyperlink>
    </w:p>
    <w:p>
      <w:r>
        <w:rPr>
          <w:b w:val="0"/>
        </w:rPr>
        <w:t>Historical standard; section 11.3.5.3 describes pHYs. Establishes relevant density conventions.</w:t>
      </w:r>
    </w:p>
    <w:p>
      <w:r>
        <w:rPr>
          <w:b/>
        </w:rPr>
        <w:t>S13  JPEG File Interchange Format specification</w:t>
      </w:r>
    </w:p>
    <w:p>
      <w:hyperlink r:id="rId23">
        <w:r>
          <w:rPr>
            <w:color w:val="24597A"/>
          </w:rPr>
          <w:t>Open source S13</w:t>
        </w:r>
      </w:hyperlink>
    </w:p>
    <w:p>
      <w:r>
        <w:rPr>
          <w:b w:val="0"/>
        </w:rPr>
        <w:t>Standard JFIF fields and density units.</w:t>
      </w:r>
    </w:p>
    <w:p>
      <w:r>
        <w:rPr>
          <w:b/>
        </w:rPr>
        <w:t>S14  MDN canvas export and smoothing documentation</w:t>
      </w:r>
    </w:p>
    <w:p>
      <w:hyperlink r:id="rId24">
        <w:r>
          <w:rPr>
            <w:color w:val="24597A"/>
          </w:rPr>
          <w:t>Open source S14</w:t>
        </w:r>
      </w:hyperlink>
    </w:p>
    <w:p>
      <w:r>
        <w:rPr>
          <w:b w:val="0"/>
        </w:rPr>
        <w:t>Canvas encoding and density convention. See the linked Canvas API documentation for smoothing behavior.</w:t>
      </w:r>
    </w:p>
    <w:p>
      <w:r>
        <w:rPr>
          <w:b/>
        </w:rPr>
        <w:t>S15  ImageMagick density and resample documentation</w:t>
      </w:r>
    </w:p>
    <w:p>
      <w:hyperlink r:id="rId25">
        <w:r>
          <w:rPr>
            <w:color w:val="24597A"/>
          </w:rPr>
          <w:t>Open source S15</w:t>
        </w:r>
      </w:hyperlink>
    </w:p>
    <w:p>
      <w:r>
        <w:rPr>
          <w:b w:val="0"/>
        </w:rPr>
        <w:t>Existing software distinguishes density metadata from raster resampling. Obtain dated versions for formal prior-art use.</w:t>
      </w:r>
    </w:p>
    <w:p>
      <w:pPr>
        <w:pStyle w:val="Heading2"/>
      </w:pPr>
      <w:r>
        <w:t>Your next three actions</w:t>
      </w:r>
    </w:p>
    <w:p>
      <w:pPr>
        <w:ind w:left="230" w:hanging="230"/>
      </w:pPr>
      <w:r>
        <w:rPr>
          <w:b w:val="0"/>
        </w:rPr>
        <w:t>1. Complete the claimant, contribution and publication records with real evidence.</w:t>
      </w:r>
    </w:p>
    <w:p>
      <w:pPr>
        <w:ind w:left="230" w:hanging="230"/>
      </w:pPr>
      <w:r>
        <w:rPr>
          <w:b w:val="0"/>
        </w:rPr>
        <w:t>2. Ask IPO for the current software-copyright package and requirements, using page 20.</w:t>
      </w:r>
    </w:p>
    <w:p>
      <w:pPr>
        <w:ind w:left="230" w:hanging="230"/>
      </w:pPr>
      <w:r>
        <w:rPr>
          <w:b w:val="0"/>
        </w:rPr>
        <w:t>3. Arrange brand clearance and, only if needed, a claim-focused patent opinion before paying for a patent application.</w:t>
      </w:r>
    </w:p>
    <w:p>
      <w:r>
        <w:rPr>
          <w:b w:val="0"/>
        </w:rPr>
        <w:t>Project creator: Dr. Asif Ahmad. This dossier prepares the discussion and filing material; it does not represent any right as already registered or any invention as already patentable.</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Creator Dr. Asif Ahmad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7"/>
      </w:rPr>
      <w:t>DPI Studio Intellectual Property Guide   |   Pakistan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ipo.int/wipolex/en/legislation/details/3482" TargetMode="External"/><Relationship Id="rId12" Type="http://schemas.openxmlformats.org/officeDocument/2006/relationships/hyperlink" Target="https://www.wipo.int/wipolex/en/legislation/details/3490" TargetMode="External"/><Relationship Id="rId13" Type="http://schemas.openxmlformats.org/officeDocument/2006/relationships/hyperlink" Target="https://www.wipo.int/wipolex/en/legislation/details/3478" TargetMode="External"/><Relationship Id="rId14" Type="http://schemas.openxmlformats.org/officeDocument/2006/relationships/hyperlink" Target="https://www.wipo.int/wipolex/zh/text/188992" TargetMode="External"/><Relationship Id="rId15" Type="http://schemas.openxmlformats.org/officeDocument/2006/relationships/hyperlink" Target="https://www.uvas.edu.pk/doc/2018/Patent_filing_Guidelines_in_Pakistan.pdf" TargetMode="External"/><Relationship Id="rId16" Type="http://schemas.openxmlformats.org/officeDocument/2006/relationships/hyperlink" Target="https://www.wipo.int/export/sites/www/sme/en/documents/guides/customization/inventing_future_pa.pdf" TargetMode="External"/><Relationship Id="rId17" Type="http://schemas.openxmlformats.org/officeDocument/2006/relationships/hyperlink" Target="https://www.wipo.int/en/web/country-profiles/contact?code=pk" TargetMode="External"/><Relationship Id="rId18" Type="http://schemas.openxmlformats.org/officeDocument/2006/relationships/hyperlink" Target="https://pakistancode.gov.pk/pdffiles/administratora4ef8d40e3d97faef49343d2242e0c3a.pdf" TargetMode="External"/><Relationship Id="rId19" Type="http://schemas.openxmlformats.org/officeDocument/2006/relationships/hyperlink" Target="https://www.wipo.int/wipolex/en/text/189123" TargetMode="External"/><Relationship Id="rId20" Type="http://schemas.openxmlformats.org/officeDocument/2006/relationships/hyperlink" Target="https://www.wipo.int/classifications/nice/en/" TargetMode="External"/><Relationship Id="rId21" Type="http://schemas.openxmlformats.org/officeDocument/2006/relationships/hyperlink" Target="https://www.pakistancode.gov.pk/english/UY2FqaJw1-apaUY2Fqa-apaUY2FobZo%253D-sg-jjjjjjjjjjjjj" TargetMode="External"/><Relationship Id="rId22" Type="http://schemas.openxmlformats.org/officeDocument/2006/relationships/hyperlink" Target="https://www.w3.org/TR/2003/REC-PNG-20031110/" TargetMode="External"/><Relationship Id="rId23" Type="http://schemas.openxmlformats.org/officeDocument/2006/relationships/hyperlink" Target="https://www.w3.org/Graphics/JPEG/jfif3.pdf" TargetMode="External"/><Relationship Id="rId24" Type="http://schemas.openxmlformats.org/officeDocument/2006/relationships/hyperlink" Target="https://developer.mozilla.org/en-US/docs/Web/API/HTMLCanvasElement/toBlob" TargetMode="External"/><Relationship Id="rId25" Type="http://schemas.openxmlformats.org/officeDocument/2006/relationships/hyperlink" Target="https://legacy.imagemagick.org/script/command-line-option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 Studio Intellectual Property Registration Guide for Pakistan</dc:title>
  <dc:subject>Copyright preparation and patent assessment dossier</dc:subject>
  <dc:creator>Dr. Asif Ahmad</dc:creator>
  <cp:keywords>DPI Studio, image DPI, 300 DPI, 600 DPI, offline image tool, Dr. Asif Ahmad</cp:keywords>
  <dc:description>generated by python-docx</dc:description>
  <cp:lastModifiedBy/>
  <cp:revision>1</cp:revision>
  <dcterms:created xsi:type="dcterms:W3CDTF">2013-12-23T23:15:00Z</dcterms:created>
  <dcterms:modified xsi:type="dcterms:W3CDTF">2013-12-23T23:15:00Z</dcterms:modified>
  <cp:category/>
</cp:coreProperties>
</file>