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28"/>
          <w:szCs w:val="28"/>
        </w:rPr>
        <w:t xml:space="preserve">American International University-Bangladesh</w:t>
      </w:r>
    </w:p>
    <w:p>
      <w:pPr>
        <w:spacing w:after="80" w:before="0"/>
        <w:jc w:val="center"/>
      </w:pPr>
      <w:r>
        <w:rPr>
          <w:rFonts w:ascii="Arial" w:cs="Arial" w:eastAsia="Arial" w:hAnsi="Arial"/>
          <w:b/>
          <w:bCs/>
          <w:color w:val="1A5276"/>
          <w:sz w:val="24"/>
          <w:szCs w:val="24"/>
        </w:rPr>
        <w:t xml:space="preserve">Faculty of Science and Technology</w:t>
      </w:r>
    </w:p>
    <w:p>
      <w:pPr>
        <w:spacing w:after="80" w:before="0"/>
        <w:jc w:val="center"/>
      </w:pPr>
      <w:r>
        <w:rPr>
          <w:rFonts w:ascii="Arial" w:cs="Arial" w:eastAsia="Arial" w:hAnsi="Arial"/>
          <w:b/>
          <w:bCs/>
          <w:color w:val="555555"/>
          <w:sz w:val="24"/>
          <w:szCs w:val="24"/>
        </w:rPr>
        <w:t xml:space="preserve">OSC Handbook — Computer Laboratory Write-Ups</w:t>
      </w:r>
    </w:p>
    <w:p>
      <w:pPr>
        <w:pBdr>
          <w:bottom w:val="single" w:color="003366" w:sz="8" w:space="6"/>
        </w:pBdr>
        <w:spacing w:after="320" w:before="0"/>
        <w:jc w:val="center"/>
      </w:pPr>
      <w:r>
        <w:rPr>
          <w:sz w:val="22"/>
          <w:szCs w:val="22"/>
        </w:rPr>
        <w:t xml:space="preserve"/>
      </w:r>
    </w:p>
    <w:p>
      <w:pPr>
        <w:spacing w:after="160" w:before="100"/>
      </w:pPr>
      <w:r>
        <w:rPr>
          <w:rFonts w:ascii="Arial" w:cs="Arial" w:eastAsia="Arial" w:hAnsi="Arial"/>
          <w:sz w:val="22"/>
          <w:szCs w:val="22"/>
        </w:rPr>
        <w:t xml:space="preserve">The Faculty of Science and Technology (FST) at AIUB is home to a state-of-the-art computing infrastructure designed to deliver world-class education in computer science, software engineering, data science, networking, and related disciplines. With 25 dedicated computer laboratories across the campus — each equipped with 40 high-performance workstations and supported by 24 enterprise-grade servers — the FST provides students with an immersive, hands-on learning environment that bridges theory and practice.</w:t>
      </w:r>
    </w:p>
    <w:p>
      <w:pPr>
        <w:spacing w:after="80" w:before="80"/>
      </w:pPr>
      <w:r>
        <w:t xml:space="preserve"/>
      </w:r>
    </w:p>
    <w:p>
      <w:pPr>
        <w:spacing w:after="160" w:before="100"/>
      </w:pPr>
      <w:r>
        <w:rPr>
          <w:rFonts w:ascii="Arial" w:cs="Arial" w:eastAsia="Arial" w:hAnsi="Arial"/>
          <w:sz w:val="22"/>
          <w:szCs w:val="22"/>
        </w:rPr>
        <w:t xml:space="preserve">The following write-ups describe the key computer laboratories available under the Faculty of Science and Technology.</w:t>
      </w:r>
    </w:p>
    <w:p>
      <w:pPr>
        <w:spacing w:after="80" w:before="80"/>
      </w:pPr>
      <w:r>
        <w:t xml:space="preserve"/>
      </w:r>
    </w:p>
    <w:p>
      <w:pPr>
        <w:pStyle w:val="Heading1"/>
        <w:pBdr>
          <w:bottom w:val="single" w:color="003366" w:sz="6" w:space="4"/>
        </w:pBdr>
        <w:spacing w:after="200" w:before="400"/>
      </w:pPr>
      <w:r>
        <w:rPr>
          <w:rFonts w:ascii="Arial" w:cs="Arial" w:eastAsia="Arial" w:hAnsi="Arial"/>
          <w:b/>
          <w:bCs/>
          <w:color w:val="003366"/>
          <w:sz w:val="32"/>
          <w:szCs w:val="32"/>
        </w:rPr>
        <w:t xml:space="preserve">General Purpose Computer Laboratories</w:t>
      </w:r>
    </w:p>
    <w:p>
      <w:pPr>
        <w:spacing w:after="160" w:before="100"/>
      </w:pPr>
      <w:r>
        <w:rPr>
          <w:rFonts w:ascii="Arial" w:cs="Arial" w:eastAsia="Arial" w:hAnsi="Arial"/>
          <w:sz w:val="22"/>
          <w:szCs w:val="22"/>
        </w:rPr>
        <w:t xml:space="preserve">The General Purpose Computer Laboratories form the backbone of computing education at the Faculty of Science and Technology. These labs serve a broad spectrum of courses across all FST programs, including BSc in Computer Science and Engineering (CSE), BSc in Computer Science (CS), BSc in Software Engineering (SE), BSc in Computer Science and Software Engineering (CSSE), BSc in Computer Information System (CIS), BSc in Data Science, and BSc in Computer Network and Cyber Security.</w:t>
      </w:r>
    </w:p>
    <w:p>
      <w:pPr>
        <w:spacing w:after="80" w:before="80"/>
      </w:pPr>
      <w:r>
        <w:t xml:space="preserve"/>
      </w:r>
    </w:p>
    <w:p>
      <w:pPr>
        <w:spacing w:after="160" w:before="100"/>
      </w:pPr>
      <w:r>
        <w:rPr>
          <w:rFonts w:ascii="Arial" w:cs="Arial" w:eastAsia="Arial" w:hAnsi="Arial"/>
          <w:sz w:val="22"/>
          <w:szCs w:val="22"/>
        </w:rPr>
        <w:t xml:space="preserve">Each laboratory is equipped with modern desktop workstations running up-to-date operating systems, pre-installed with a comprehensive suite of academic and professional software. The labs provide students with an ideal environment to engage in coursework, conduct assignments, and complete hands-on exercises under faculty supervision.</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Key Features</w:t>
      </w:r>
    </w:p>
    <w:p>
      <w:pPr>
        <w:pStyle w:val="ListParagraph"/>
        <w:numPr>
          <w:ilvl w:val="0"/>
          <w:numId w:val="2"/>
        </w:numPr>
        <w:spacing w:after="60" w:before="60"/>
      </w:pPr>
      <w:r>
        <w:rPr>
          <w:rFonts w:ascii="Arial" w:cs="Arial" w:eastAsia="Arial" w:hAnsi="Arial"/>
          <w:sz w:val="22"/>
          <w:szCs w:val="22"/>
        </w:rPr>
        <w:t xml:space="preserve">40 high-specification computing workstations per lab, configured for optimal academic performance.</w:t>
      </w:r>
    </w:p>
    <w:p>
      <w:pPr>
        <w:pStyle w:val="ListParagraph"/>
        <w:numPr>
          <w:ilvl w:val="0"/>
          <w:numId w:val="2"/>
        </w:numPr>
        <w:spacing w:after="60" w:before="60"/>
      </w:pPr>
      <w:r>
        <w:rPr>
          <w:rFonts w:ascii="Arial" w:cs="Arial" w:eastAsia="Arial" w:hAnsi="Arial"/>
          <w:sz w:val="22"/>
          <w:szCs w:val="22"/>
        </w:rPr>
        <w:t xml:space="preserve">Networked infrastructure supported by 24 dedicated servers ensuring seamless connectivity and resource sharing.</w:t>
      </w:r>
    </w:p>
    <w:p>
      <w:pPr>
        <w:pStyle w:val="ListParagraph"/>
        <w:numPr>
          <w:ilvl w:val="0"/>
          <w:numId w:val="2"/>
        </w:numPr>
        <w:spacing w:after="60" w:before="60"/>
      </w:pPr>
      <w:r>
        <w:rPr>
          <w:rFonts w:ascii="Arial" w:cs="Arial" w:eastAsia="Arial" w:hAnsi="Arial"/>
          <w:sz w:val="22"/>
          <w:szCs w:val="22"/>
        </w:rPr>
        <w:t xml:space="preserve">Pre-installed software suites including popular IDEs, compilers, productivity tools, and academic platforms.</w:t>
      </w:r>
    </w:p>
    <w:p>
      <w:pPr>
        <w:pStyle w:val="ListParagraph"/>
        <w:numPr>
          <w:ilvl w:val="0"/>
          <w:numId w:val="2"/>
        </w:numPr>
        <w:spacing w:after="60" w:before="60"/>
      </w:pPr>
      <w:r>
        <w:rPr>
          <w:rFonts w:ascii="Arial" w:cs="Arial" w:eastAsia="Arial" w:hAnsi="Arial"/>
          <w:sz w:val="22"/>
          <w:szCs w:val="22"/>
        </w:rPr>
        <w:t xml:space="preserve">High-speed internet access and access to AIUB's internal digital resources and library databases.</w:t>
      </w:r>
    </w:p>
    <w:p>
      <w:pPr>
        <w:pStyle w:val="ListParagraph"/>
        <w:numPr>
          <w:ilvl w:val="0"/>
          <w:numId w:val="2"/>
        </w:numPr>
        <w:spacing w:after="60" w:before="60"/>
      </w:pPr>
      <w:r>
        <w:rPr>
          <w:rFonts w:ascii="Arial" w:cs="Arial" w:eastAsia="Arial" w:hAnsi="Arial"/>
          <w:sz w:val="22"/>
          <w:szCs w:val="22"/>
        </w:rPr>
        <w:t xml:space="preserve">Projector and display systems to facilitate instructor-led demonstrations and collaborative sessions.</w:t>
      </w:r>
    </w:p>
    <w:p>
      <w:pPr>
        <w:pStyle w:val="ListParagraph"/>
        <w:numPr>
          <w:ilvl w:val="0"/>
          <w:numId w:val="2"/>
        </w:numPr>
        <w:spacing w:after="60" w:before="60"/>
      </w:pPr>
      <w:r>
        <w:rPr>
          <w:rFonts w:ascii="Arial" w:cs="Arial" w:eastAsia="Arial" w:hAnsi="Arial"/>
          <w:sz w:val="22"/>
          <w:szCs w:val="22"/>
        </w:rPr>
        <w:t xml:space="preserve">Air-conditioned, well-lit, and ergonomically designed spaces for comfortable and focused learning.</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Academic Use</w:t>
      </w:r>
    </w:p>
    <w:p>
      <w:pPr>
        <w:spacing w:after="160" w:before="100"/>
      </w:pPr>
      <w:r>
        <w:rPr>
          <w:rFonts w:ascii="Arial" w:cs="Arial" w:eastAsia="Arial" w:hAnsi="Arial"/>
          <w:sz w:val="22"/>
          <w:szCs w:val="22"/>
        </w:rPr>
        <w:t xml:space="preserve">These laboratories support a wide variety of introductory and intermediate-level courses such as Introduction to Computer Studies, Introduction to Programming, Data Structures, Discrete Mathematics, and Database Management Systems, among others. They also provide students with the computing resources needed for self-study, assignments, and lab-based assessments throughout the academic semester.</w:t>
      </w:r>
    </w:p>
    <w:p>
      <w:pPr>
        <w:spacing w:after="80" w:before="80"/>
      </w:pPr>
      <w:r>
        <w:t xml:space="preserve"/>
      </w:r>
    </w:p>
    <w:p>
      <w:pPr>
        <w:pStyle w:val="Heading1"/>
        <w:pBdr>
          <w:bottom w:val="single" w:color="003366" w:sz="6" w:space="4"/>
        </w:pBdr>
        <w:spacing w:after="200" w:before="400"/>
      </w:pPr>
      <w:r>
        <w:rPr>
          <w:rFonts w:ascii="Arial" w:cs="Arial" w:eastAsia="Arial" w:hAnsi="Arial"/>
          <w:b/>
          <w:bCs/>
          <w:color w:val="003366"/>
          <w:sz w:val="32"/>
          <w:szCs w:val="32"/>
        </w:rPr>
        <w:t xml:space="preserve">Programming and Software Development Laboratory</w:t>
      </w:r>
    </w:p>
    <w:p>
      <w:pPr>
        <w:spacing w:after="160" w:before="100"/>
      </w:pPr>
      <w:r>
        <w:rPr>
          <w:rFonts w:ascii="Arial" w:cs="Arial" w:eastAsia="Arial" w:hAnsi="Arial"/>
          <w:sz w:val="22"/>
          <w:szCs w:val="22"/>
        </w:rPr>
        <w:t xml:space="preserve">The Programming and Software Development Laboratory is a specialized facility dedicated to advancing students' software development skills across multiple programming paradigms and platforms. This lab is a central hub for courses in object-oriented programming, web technologies, mobile application development, software engineering methodologies, and advanced algorithm design.</w:t>
      </w:r>
    </w:p>
    <w:p>
      <w:pPr>
        <w:spacing w:after="80" w:before="80"/>
      </w:pPr>
      <w:r>
        <w:t xml:space="preserve"/>
      </w:r>
    </w:p>
    <w:p>
      <w:pPr>
        <w:spacing w:after="160" w:before="100"/>
      </w:pPr>
      <w:r>
        <w:rPr>
          <w:rFonts w:ascii="Arial" w:cs="Arial" w:eastAsia="Arial" w:hAnsi="Arial"/>
          <w:sz w:val="22"/>
          <w:szCs w:val="22"/>
        </w:rPr>
        <w:t xml:space="preserve">Students in this lab work with a variety of industry-standard programming languages and development frameworks, gaining practical exposure that directly prepares them for professional careers in software development.</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Key Features</w:t>
      </w:r>
    </w:p>
    <w:p>
      <w:pPr>
        <w:pStyle w:val="ListParagraph"/>
        <w:numPr>
          <w:ilvl w:val="0"/>
          <w:numId w:val="2"/>
        </w:numPr>
        <w:spacing w:after="60" w:before="60"/>
      </w:pPr>
      <w:r>
        <w:rPr>
          <w:rFonts w:ascii="Arial" w:cs="Arial" w:eastAsia="Arial" w:hAnsi="Arial"/>
          <w:sz w:val="22"/>
          <w:szCs w:val="22"/>
        </w:rPr>
        <w:t xml:space="preserve">Development environments supporting languages including Java, Python, C, C++, JavaScript, PHP, and more.</w:t>
      </w:r>
    </w:p>
    <w:p>
      <w:pPr>
        <w:pStyle w:val="ListParagraph"/>
        <w:numPr>
          <w:ilvl w:val="0"/>
          <w:numId w:val="2"/>
        </w:numPr>
        <w:spacing w:after="60" w:before="60"/>
      </w:pPr>
      <w:r>
        <w:rPr>
          <w:rFonts w:ascii="Arial" w:cs="Arial" w:eastAsia="Arial" w:hAnsi="Arial"/>
          <w:sz w:val="22"/>
          <w:szCs w:val="22"/>
        </w:rPr>
        <w:t xml:space="preserve">Integrated Development Environments (IDEs) such as IntelliJ IDEA, Eclipse, Visual Studio Code, and PyCharm.</w:t>
      </w:r>
    </w:p>
    <w:p>
      <w:pPr>
        <w:pStyle w:val="ListParagraph"/>
        <w:numPr>
          <w:ilvl w:val="0"/>
          <w:numId w:val="2"/>
        </w:numPr>
        <w:spacing w:after="60" w:before="60"/>
      </w:pPr>
      <w:r>
        <w:rPr>
          <w:rFonts w:ascii="Arial" w:cs="Arial" w:eastAsia="Arial" w:hAnsi="Arial"/>
          <w:sz w:val="22"/>
          <w:szCs w:val="22"/>
        </w:rPr>
        <w:t xml:space="preserve">Version control tools including Git integrated into the lab workflow for collaborative software projects.</w:t>
      </w:r>
    </w:p>
    <w:p>
      <w:pPr>
        <w:pStyle w:val="ListParagraph"/>
        <w:numPr>
          <w:ilvl w:val="0"/>
          <w:numId w:val="2"/>
        </w:numPr>
        <w:spacing w:after="60" w:before="60"/>
      </w:pPr>
      <w:r>
        <w:rPr>
          <w:rFonts w:ascii="Arial" w:cs="Arial" w:eastAsia="Arial" w:hAnsi="Arial"/>
          <w:sz w:val="22"/>
          <w:szCs w:val="22"/>
        </w:rPr>
        <w:t xml:space="preserve">Mobile development tools for Android (Android Studio) and cross-platform frameworks.</w:t>
      </w:r>
    </w:p>
    <w:p>
      <w:pPr>
        <w:pStyle w:val="ListParagraph"/>
        <w:numPr>
          <w:ilvl w:val="0"/>
          <w:numId w:val="2"/>
        </w:numPr>
        <w:spacing w:after="60" w:before="60"/>
      </w:pPr>
      <w:r>
        <w:rPr>
          <w:rFonts w:ascii="Arial" w:cs="Arial" w:eastAsia="Arial" w:hAnsi="Arial"/>
          <w:sz w:val="22"/>
          <w:szCs w:val="22"/>
        </w:rPr>
        <w:t xml:space="preserve">Web development stacks including LAMP, MEAN, and other contemporary frameworks.</w:t>
      </w:r>
    </w:p>
    <w:p>
      <w:pPr>
        <w:pStyle w:val="ListParagraph"/>
        <w:numPr>
          <w:ilvl w:val="0"/>
          <w:numId w:val="2"/>
        </w:numPr>
        <w:spacing w:after="60" w:before="60"/>
      </w:pPr>
      <w:r>
        <w:rPr>
          <w:rFonts w:ascii="Arial" w:cs="Arial" w:eastAsia="Arial" w:hAnsi="Arial"/>
          <w:sz w:val="22"/>
          <w:szCs w:val="22"/>
        </w:rPr>
        <w:t xml:space="preserve">Support for containerization and virtualization tools for advanced software engineering courses.</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Academic Use</w:t>
      </w:r>
    </w:p>
    <w:p>
      <w:pPr>
        <w:spacing w:after="160" w:before="100"/>
      </w:pPr>
      <w:r>
        <w:rPr>
          <w:rFonts w:ascii="Arial" w:cs="Arial" w:eastAsia="Arial" w:hAnsi="Arial"/>
          <w:sz w:val="22"/>
          <w:szCs w:val="22"/>
        </w:rPr>
        <w:t xml:space="preserve">This laboratory supports courses such as Object-Oriented Programming, Web Technologies, Software Engineering, Mobile Application Development, Design Patterns, and Advanced Programming. Students use this lab to develop individual and group software projects, collaborate on capstone initiatives, and prepare for industry-level software development roles.</w:t>
      </w:r>
    </w:p>
    <w:p>
      <w:pPr>
        <w:spacing w:after="80" w:before="80"/>
      </w:pPr>
      <w:r>
        <w:t xml:space="preserve"/>
      </w:r>
    </w:p>
    <w:p>
      <w:pPr>
        <w:pStyle w:val="Heading1"/>
        <w:pBdr>
          <w:bottom w:val="single" w:color="003366" w:sz="6" w:space="4"/>
        </w:pBdr>
        <w:spacing w:after="200" w:before="400"/>
      </w:pPr>
      <w:r>
        <w:rPr>
          <w:rFonts w:ascii="Arial" w:cs="Arial" w:eastAsia="Arial" w:hAnsi="Arial"/>
          <w:b/>
          <w:bCs/>
          <w:color w:val="003366"/>
          <w:sz w:val="32"/>
          <w:szCs w:val="32"/>
        </w:rPr>
        <w:t xml:space="preserve">Networking and Cyber Security Laboratory</w:t>
      </w:r>
    </w:p>
    <w:p>
      <w:pPr>
        <w:spacing w:after="160" w:before="100"/>
      </w:pPr>
      <w:r>
        <w:rPr>
          <w:rFonts w:ascii="Arial" w:cs="Arial" w:eastAsia="Arial" w:hAnsi="Arial"/>
          <w:sz w:val="22"/>
          <w:szCs w:val="22"/>
        </w:rPr>
        <w:t xml:space="preserve">The Networking and Cyber Security Laboratory is a cutting-edge facility purpose-built to support programs in computer networking, telecommunications, and cybersecurity. With the growing importance of network infrastructure management and digital security in the modern world, this lab equips students with the practical skills needed to design, configure, monitor, and secure complex networked systems.</w:t>
      </w:r>
    </w:p>
    <w:p>
      <w:pPr>
        <w:spacing w:after="80" w:before="80"/>
      </w:pPr>
      <w:r>
        <w:t xml:space="preserve"/>
      </w:r>
    </w:p>
    <w:p>
      <w:pPr>
        <w:spacing w:after="160" w:before="100"/>
      </w:pPr>
      <w:r>
        <w:rPr>
          <w:rFonts w:ascii="Arial" w:cs="Arial" w:eastAsia="Arial" w:hAnsi="Arial"/>
          <w:sz w:val="22"/>
          <w:szCs w:val="22"/>
        </w:rPr>
        <w:t xml:space="preserve">The lab aligns directly with the academic requirements of the BSc in Computer Network and Cyber Security program, as well as relevant networking electives within the broader FST curriculum.</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Key Features</w:t>
      </w:r>
    </w:p>
    <w:p>
      <w:pPr>
        <w:pStyle w:val="ListParagraph"/>
        <w:numPr>
          <w:ilvl w:val="0"/>
          <w:numId w:val="2"/>
        </w:numPr>
        <w:spacing w:after="60" w:before="60"/>
      </w:pPr>
      <w:r>
        <w:rPr>
          <w:rFonts w:ascii="Arial" w:cs="Arial" w:eastAsia="Arial" w:hAnsi="Arial"/>
          <w:sz w:val="22"/>
          <w:szCs w:val="22"/>
        </w:rPr>
        <w:t xml:space="preserve">Workstations pre-installed with network simulation and analysis tools such as Cisco Packet Tracer, GNS3, and Wireshark.</w:t>
      </w:r>
    </w:p>
    <w:p>
      <w:pPr>
        <w:pStyle w:val="ListParagraph"/>
        <w:numPr>
          <w:ilvl w:val="0"/>
          <w:numId w:val="2"/>
        </w:numPr>
        <w:spacing w:after="60" w:before="60"/>
      </w:pPr>
      <w:r>
        <w:rPr>
          <w:rFonts w:ascii="Arial" w:cs="Arial" w:eastAsia="Arial" w:hAnsi="Arial"/>
          <w:sz w:val="22"/>
          <w:szCs w:val="22"/>
        </w:rPr>
        <w:t xml:space="preserve">Dedicated server infrastructure for simulating real-world network topologies, routing, and switching environments.</w:t>
      </w:r>
    </w:p>
    <w:p>
      <w:pPr>
        <w:pStyle w:val="ListParagraph"/>
        <w:numPr>
          <w:ilvl w:val="0"/>
          <w:numId w:val="2"/>
        </w:numPr>
        <w:spacing w:after="60" w:before="60"/>
      </w:pPr>
      <w:r>
        <w:rPr>
          <w:rFonts w:ascii="Arial" w:cs="Arial" w:eastAsia="Arial" w:hAnsi="Arial"/>
          <w:sz w:val="22"/>
          <w:szCs w:val="22"/>
        </w:rPr>
        <w:t xml:space="preserve">Cybersecurity toolkits for ethical hacking, penetration testing, and vulnerability assessment exercises.</w:t>
      </w:r>
    </w:p>
    <w:p>
      <w:pPr>
        <w:pStyle w:val="ListParagraph"/>
        <w:numPr>
          <w:ilvl w:val="0"/>
          <w:numId w:val="2"/>
        </w:numPr>
        <w:spacing w:after="60" w:before="60"/>
      </w:pPr>
      <w:r>
        <w:rPr>
          <w:rFonts w:ascii="Arial" w:cs="Arial" w:eastAsia="Arial" w:hAnsi="Arial"/>
          <w:sz w:val="22"/>
          <w:szCs w:val="22"/>
        </w:rPr>
        <w:t xml:space="preserve">Virtual machine environments enabling students to safely experiment with various operating systems and security scenarios.</w:t>
      </w:r>
    </w:p>
    <w:p>
      <w:pPr>
        <w:pStyle w:val="ListParagraph"/>
        <w:numPr>
          <w:ilvl w:val="0"/>
          <w:numId w:val="2"/>
        </w:numPr>
        <w:spacing w:after="60" w:before="60"/>
      </w:pPr>
      <w:r>
        <w:rPr>
          <w:rFonts w:ascii="Arial" w:cs="Arial" w:eastAsia="Arial" w:hAnsi="Arial"/>
          <w:sz w:val="22"/>
          <w:szCs w:val="22"/>
        </w:rPr>
        <w:t xml:space="preserve">Firewalls, intrusion detection systems, and VPN configurations available for practical exposure.</w:t>
      </w:r>
    </w:p>
    <w:p>
      <w:pPr>
        <w:pStyle w:val="ListParagraph"/>
        <w:numPr>
          <w:ilvl w:val="0"/>
          <w:numId w:val="2"/>
        </w:numPr>
        <w:spacing w:after="60" w:before="60"/>
      </w:pPr>
      <w:r>
        <w:rPr>
          <w:rFonts w:ascii="Arial" w:cs="Arial" w:eastAsia="Arial" w:hAnsi="Arial"/>
          <w:sz w:val="22"/>
          <w:szCs w:val="22"/>
        </w:rPr>
        <w:t xml:space="preserve">CISCO-aligned curriculum materials and access to CISCO NetAcad resources.</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Academic Use</w:t>
      </w:r>
    </w:p>
    <w:p>
      <w:pPr>
        <w:spacing w:after="160" w:before="100"/>
      </w:pPr>
      <w:r>
        <w:rPr>
          <w:rFonts w:ascii="Arial" w:cs="Arial" w:eastAsia="Arial" w:hAnsi="Arial"/>
          <w:sz w:val="22"/>
          <w:szCs w:val="22"/>
        </w:rPr>
        <w:t xml:space="preserve">This laboratory is used in courses including Data Communications and Networking, Network Administration, Cyber Security, Ethical Hacking, Cloud Computing, and related electives. Students gain real-world experience configuring routers and switches, analysing network traffic, securing systems against threats, and managing enterprise-level network infrastructures.</w:t>
      </w:r>
    </w:p>
    <w:p>
      <w:pPr>
        <w:spacing w:after="80" w:before="80"/>
      </w:pPr>
      <w:r>
        <w:t xml:space="preserve"/>
      </w:r>
    </w:p>
    <w:p>
      <w:pPr>
        <w:pStyle w:val="Heading1"/>
        <w:pBdr>
          <w:bottom w:val="single" w:color="003366" w:sz="6" w:space="4"/>
        </w:pBdr>
        <w:spacing w:after="200" w:before="400"/>
      </w:pPr>
      <w:r>
        <w:rPr>
          <w:rFonts w:ascii="Arial" w:cs="Arial" w:eastAsia="Arial" w:hAnsi="Arial"/>
          <w:b/>
          <w:bCs/>
          <w:color w:val="003366"/>
          <w:sz w:val="32"/>
          <w:szCs w:val="32"/>
        </w:rPr>
        <w:t xml:space="preserve">Database and Data Science Laboratory</w:t>
      </w:r>
    </w:p>
    <w:p>
      <w:pPr>
        <w:spacing w:after="160" w:before="100"/>
      </w:pPr>
      <w:r>
        <w:rPr>
          <w:rFonts w:ascii="Arial" w:cs="Arial" w:eastAsia="Arial" w:hAnsi="Arial"/>
          <w:sz w:val="22"/>
          <w:szCs w:val="22"/>
        </w:rPr>
        <w:t xml:space="preserve">The Database and Data Science Laboratory is a specialized computing facility designed to support the increasing demand for data-driven education. This lab serves students pursuing data science, database management, and analytical computing, providing them with the tools and environment to work with large datasets, relational and non-relational databases, and advanced analytics platforms.</w:t>
      </w:r>
    </w:p>
    <w:p>
      <w:pPr>
        <w:spacing w:after="80" w:before="80"/>
      </w:pPr>
      <w:r>
        <w:t xml:space="preserve"/>
      </w:r>
    </w:p>
    <w:p>
      <w:pPr>
        <w:spacing w:after="160" w:before="100"/>
      </w:pPr>
      <w:r>
        <w:rPr>
          <w:rFonts w:ascii="Arial" w:cs="Arial" w:eastAsia="Arial" w:hAnsi="Arial"/>
          <w:sz w:val="22"/>
          <w:szCs w:val="22"/>
        </w:rPr>
        <w:t xml:space="preserve">In an era where data is a critical organizational asset, this laboratory ensures that FST students develop strong competencies in data collection, storage, processing, analysis, and visualization — skills that are highly sought after by industry.</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Key Features</w:t>
      </w:r>
    </w:p>
    <w:p>
      <w:pPr>
        <w:pStyle w:val="ListParagraph"/>
        <w:numPr>
          <w:ilvl w:val="0"/>
          <w:numId w:val="2"/>
        </w:numPr>
        <w:spacing w:after="60" w:before="60"/>
      </w:pPr>
      <w:r>
        <w:rPr>
          <w:rFonts w:ascii="Arial" w:cs="Arial" w:eastAsia="Arial" w:hAnsi="Arial"/>
          <w:sz w:val="22"/>
          <w:szCs w:val="22"/>
        </w:rPr>
        <w:t xml:space="preserve">Database management systems including MySQL, PostgreSQL, Oracle, and MongoDB installed across all workstations.</w:t>
      </w:r>
    </w:p>
    <w:p>
      <w:pPr>
        <w:pStyle w:val="ListParagraph"/>
        <w:numPr>
          <w:ilvl w:val="0"/>
          <w:numId w:val="2"/>
        </w:numPr>
        <w:spacing w:after="60" w:before="60"/>
      </w:pPr>
      <w:r>
        <w:rPr>
          <w:rFonts w:ascii="Arial" w:cs="Arial" w:eastAsia="Arial" w:hAnsi="Arial"/>
          <w:sz w:val="22"/>
          <w:szCs w:val="22"/>
        </w:rPr>
        <w:t xml:space="preserve">Data analytics and visualization tools such as Python (Pandas, NumPy, Matplotlib, Seaborn), R Studio, and Tableau.</w:t>
      </w:r>
    </w:p>
    <w:p>
      <w:pPr>
        <w:pStyle w:val="ListParagraph"/>
        <w:numPr>
          <w:ilvl w:val="0"/>
          <w:numId w:val="2"/>
        </w:numPr>
        <w:spacing w:after="60" w:before="60"/>
      </w:pPr>
      <w:r>
        <w:rPr>
          <w:rFonts w:ascii="Arial" w:cs="Arial" w:eastAsia="Arial" w:hAnsi="Arial"/>
          <w:sz w:val="22"/>
          <w:szCs w:val="22"/>
        </w:rPr>
        <w:t xml:space="preserve">Big Data tools and platforms including Apache Hadoop and Spark for large-scale data processing tasks.</w:t>
      </w:r>
    </w:p>
    <w:p>
      <w:pPr>
        <w:pStyle w:val="ListParagraph"/>
        <w:numPr>
          <w:ilvl w:val="0"/>
          <w:numId w:val="2"/>
        </w:numPr>
        <w:spacing w:after="60" w:before="60"/>
      </w:pPr>
      <w:r>
        <w:rPr>
          <w:rFonts w:ascii="Arial" w:cs="Arial" w:eastAsia="Arial" w:hAnsi="Arial"/>
          <w:sz w:val="22"/>
          <w:szCs w:val="22"/>
        </w:rPr>
        <w:t xml:space="preserve">Machine learning libraries and frameworks including Scikit-learn, TensorFlow, and Keras for applied AI coursework.</w:t>
      </w:r>
    </w:p>
    <w:p>
      <w:pPr>
        <w:pStyle w:val="ListParagraph"/>
        <w:numPr>
          <w:ilvl w:val="0"/>
          <w:numId w:val="2"/>
        </w:numPr>
        <w:spacing w:after="60" w:before="60"/>
      </w:pPr>
      <w:r>
        <w:rPr>
          <w:rFonts w:ascii="Arial" w:cs="Arial" w:eastAsia="Arial" w:hAnsi="Arial"/>
          <w:sz w:val="22"/>
          <w:szCs w:val="22"/>
        </w:rPr>
        <w:t xml:space="preserve">High-performance computing resources suited for data-intensive processing and model training.</w:t>
      </w:r>
    </w:p>
    <w:p>
      <w:pPr>
        <w:pStyle w:val="ListParagraph"/>
        <w:numPr>
          <w:ilvl w:val="0"/>
          <w:numId w:val="2"/>
        </w:numPr>
        <w:spacing w:after="60" w:before="60"/>
      </w:pPr>
      <w:r>
        <w:rPr>
          <w:rFonts w:ascii="Arial" w:cs="Arial" w:eastAsia="Arial" w:hAnsi="Arial"/>
          <w:sz w:val="22"/>
          <w:szCs w:val="22"/>
        </w:rPr>
        <w:t xml:space="preserve">Cloud computing integrations for exposure to AWS, Google Cloud, and Azure data services.</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Academic Use</w:t>
      </w:r>
    </w:p>
    <w:p>
      <w:pPr>
        <w:spacing w:after="160" w:before="100"/>
      </w:pPr>
      <w:r>
        <w:rPr>
          <w:rFonts w:ascii="Arial" w:cs="Arial" w:eastAsia="Arial" w:hAnsi="Arial"/>
          <w:sz w:val="22"/>
          <w:szCs w:val="22"/>
        </w:rPr>
        <w:t xml:space="preserve">This laboratory supports courses such as Database Management Systems, Data Science, Machine Learning, Big Data Analytics, Business Intelligence, and Statistical Computing. Students use the lab to design and query databases, build analytical pipelines, train predictive models, and develop data visualization dashboards — directly aligning their skills with real-world industry demands.</w:t>
      </w:r>
    </w:p>
    <w:p>
      <w:pPr>
        <w:spacing w:after="80" w:before="80"/>
      </w:pPr>
      <w:r>
        <w:t xml:space="preserve"/>
      </w:r>
    </w:p>
    <w:p>
      <w:pPr>
        <w:pStyle w:val="Heading1"/>
        <w:pBdr>
          <w:bottom w:val="single" w:color="003366" w:sz="6" w:space="4"/>
        </w:pBdr>
        <w:spacing w:after="200" w:before="400"/>
      </w:pPr>
      <w:r>
        <w:rPr>
          <w:rFonts w:ascii="Arial" w:cs="Arial" w:eastAsia="Arial" w:hAnsi="Arial"/>
          <w:b/>
          <w:bCs/>
          <w:color w:val="003366"/>
          <w:sz w:val="32"/>
          <w:szCs w:val="32"/>
        </w:rPr>
        <w:t xml:space="preserve">Artificial Intelligence, IoT, and Advanced Computing Laboratory</w:t>
      </w:r>
    </w:p>
    <w:p>
      <w:pPr>
        <w:spacing w:after="160" w:before="100"/>
      </w:pPr>
      <w:r>
        <w:rPr>
          <w:rFonts w:ascii="Arial" w:cs="Arial" w:eastAsia="Arial" w:hAnsi="Arial"/>
          <w:sz w:val="22"/>
          <w:szCs w:val="22"/>
        </w:rPr>
        <w:t xml:space="preserve">The Artificial Intelligence, IoT, and Advanced Computing Laboratory represents AIUB's commitment to preparing students for the frontier technologies that are transforming industries globally. This laboratory provides students with immersive, hands-on experience in artificial intelligence, machine learning, Internet of Things (IoT), robotics, and cloud-native computing — all of which are core research and teaching strengths of the Faculty of Science and Technology.</w:t>
      </w:r>
    </w:p>
    <w:p>
      <w:pPr>
        <w:spacing w:after="80" w:before="80"/>
      </w:pPr>
      <w:r>
        <w:t xml:space="preserve"/>
      </w:r>
    </w:p>
    <w:p>
      <w:pPr>
        <w:spacing w:after="160" w:before="100"/>
      </w:pPr>
      <w:r>
        <w:rPr>
          <w:rFonts w:ascii="Arial" w:cs="Arial" w:eastAsia="Arial" w:hAnsi="Arial"/>
          <w:sz w:val="22"/>
          <w:szCs w:val="22"/>
        </w:rPr>
        <w:t xml:space="preserve">This lab reflects the FST's active research groups in AI, Cloud Computing, IoT, and Robotics, and serves as a bridge between academic learning and applied innovation.</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Key Features</w:t>
      </w:r>
    </w:p>
    <w:p>
      <w:pPr>
        <w:pStyle w:val="ListParagraph"/>
        <w:numPr>
          <w:ilvl w:val="0"/>
          <w:numId w:val="2"/>
        </w:numPr>
        <w:spacing w:after="60" w:before="60"/>
      </w:pPr>
      <w:r>
        <w:rPr>
          <w:rFonts w:ascii="Arial" w:cs="Arial" w:eastAsia="Arial" w:hAnsi="Arial"/>
          <w:sz w:val="22"/>
          <w:szCs w:val="22"/>
        </w:rPr>
        <w:t xml:space="preserve">High-performance workstations with GPU capabilities to support deep learning and AI model training.</w:t>
      </w:r>
    </w:p>
    <w:p>
      <w:pPr>
        <w:pStyle w:val="ListParagraph"/>
        <w:numPr>
          <w:ilvl w:val="0"/>
          <w:numId w:val="2"/>
        </w:numPr>
        <w:spacing w:after="60" w:before="60"/>
      </w:pPr>
      <w:r>
        <w:rPr>
          <w:rFonts w:ascii="Arial" w:cs="Arial" w:eastAsia="Arial" w:hAnsi="Arial"/>
          <w:sz w:val="22"/>
          <w:szCs w:val="22"/>
        </w:rPr>
        <w:t xml:space="preserve">AI development frameworks including TensorFlow, PyTorch, Keras, and OpenCV for computer vision projects.</w:t>
      </w:r>
    </w:p>
    <w:p>
      <w:pPr>
        <w:pStyle w:val="ListParagraph"/>
        <w:numPr>
          <w:ilvl w:val="0"/>
          <w:numId w:val="2"/>
        </w:numPr>
        <w:spacing w:after="60" w:before="60"/>
      </w:pPr>
      <w:r>
        <w:rPr>
          <w:rFonts w:ascii="Arial" w:cs="Arial" w:eastAsia="Arial" w:hAnsi="Arial"/>
          <w:sz w:val="22"/>
          <w:szCs w:val="22"/>
        </w:rPr>
        <w:t xml:space="preserve">IoT hardware kits — including Raspberry Pi, Arduino, and various sensors — enabling students to prototype connected devices.</w:t>
      </w:r>
    </w:p>
    <w:p>
      <w:pPr>
        <w:pStyle w:val="ListParagraph"/>
        <w:numPr>
          <w:ilvl w:val="0"/>
          <w:numId w:val="2"/>
        </w:numPr>
        <w:spacing w:after="60" w:before="60"/>
      </w:pPr>
      <w:r>
        <w:rPr>
          <w:rFonts w:ascii="Arial" w:cs="Arial" w:eastAsia="Arial" w:hAnsi="Arial"/>
          <w:sz w:val="22"/>
          <w:szCs w:val="22"/>
        </w:rPr>
        <w:t xml:space="preserve">Robotics development platforms and simulation environments for autonomous systems coursework.</w:t>
      </w:r>
    </w:p>
    <w:p>
      <w:pPr>
        <w:pStyle w:val="ListParagraph"/>
        <w:numPr>
          <w:ilvl w:val="0"/>
          <w:numId w:val="2"/>
        </w:numPr>
        <w:spacing w:after="60" w:before="60"/>
      </w:pPr>
      <w:r>
        <w:rPr>
          <w:rFonts w:ascii="Arial" w:cs="Arial" w:eastAsia="Arial" w:hAnsi="Arial"/>
          <w:sz w:val="22"/>
          <w:szCs w:val="22"/>
        </w:rPr>
        <w:t xml:space="preserve">Natural Language Processing (NLP) tools and pre-trained language model APIs for applied AI experimentation.</w:t>
      </w:r>
    </w:p>
    <w:p>
      <w:pPr>
        <w:pStyle w:val="ListParagraph"/>
        <w:numPr>
          <w:ilvl w:val="0"/>
          <w:numId w:val="2"/>
        </w:numPr>
        <w:spacing w:after="60" w:before="60"/>
      </w:pPr>
      <w:r>
        <w:rPr>
          <w:rFonts w:ascii="Arial" w:cs="Arial" w:eastAsia="Arial" w:hAnsi="Arial"/>
          <w:sz w:val="22"/>
          <w:szCs w:val="22"/>
        </w:rPr>
        <w:t xml:space="preserve">Cloud platforms (AWS, Azure, GCP) accessible for deploying and testing AI and IoT solutions at scale.</w:t>
      </w:r>
    </w:p>
    <w:p>
      <w:pPr>
        <w:spacing w:after="80" w:before="80"/>
      </w:pPr>
      <w:r>
        <w:t xml:space="preserve"/>
      </w:r>
    </w:p>
    <w:p>
      <w:pPr>
        <w:pStyle w:val="Heading2"/>
        <w:spacing w:after="160" w:before="300"/>
      </w:pPr>
      <w:r>
        <w:rPr>
          <w:rFonts w:ascii="Arial" w:cs="Arial" w:eastAsia="Arial" w:hAnsi="Arial"/>
          <w:b/>
          <w:bCs/>
          <w:color w:val="1A5276"/>
          <w:sz w:val="26"/>
          <w:szCs w:val="26"/>
        </w:rPr>
        <w:t xml:space="preserve">Academic Use</w:t>
      </w:r>
    </w:p>
    <w:p>
      <w:pPr>
        <w:spacing w:after="160" w:before="100"/>
      </w:pPr>
      <w:r>
        <w:rPr>
          <w:rFonts w:ascii="Arial" w:cs="Arial" w:eastAsia="Arial" w:hAnsi="Arial"/>
          <w:sz w:val="22"/>
          <w:szCs w:val="22"/>
        </w:rPr>
        <w:t xml:space="preserve">This laboratory supports advanced and elective courses such as Artificial Intelligence, Machine Learning, Deep Learning, IoT Systems, Robotics, Natural Language Processing, and Cloud Computing. It also functions as an active space for student-led research initiatives, capstone projects, and faculty-mentored innovation projects — several of which have contributed to AIUB's growing research publications and participation in national and international tech competitions.</w:t>
      </w:r>
    </w:p>
    <w:p>
      <w:pPr>
        <w:spacing w:after="80" w:before="80"/>
      </w:pPr>
      <w:r>
        <w:t xml:space="preserve"/>
      </w:r>
    </w:p>
    <w:p>
      <w:pPr>
        <w:pBdr>
          <w:top w:val="single" w:color="003366" w:sz="4" w:space="8"/>
        </w:pBdr>
        <w:spacing w:after="120" w:before="400"/>
      </w:pPr>
      <w:r>
        <w:rPr>
          <w:rFonts w:ascii="Arial" w:cs="Arial" w:eastAsia="Arial" w:hAnsi="Arial"/>
          <w:b/>
          <w:bCs/>
          <w:color w:val="003366"/>
          <w:sz w:val="22"/>
          <w:szCs w:val="22"/>
        </w:rPr>
        <w:t xml:space="preserve">Note</w:t>
      </w:r>
    </w:p>
    <w:p>
      <w:pPr>
        <w:spacing w:after="160" w:before="100"/>
      </w:pPr>
      <w:r>
        <w:rPr>
          <w:rFonts w:ascii="Arial" w:cs="Arial" w:eastAsia="Arial" w:hAnsi="Arial"/>
          <w:sz w:val="22"/>
          <w:szCs w:val="22"/>
        </w:rPr>
        <w:t xml:space="preserve">The above write-ups cover the primary categories of computer laboratories under the Faculty of Science and Technology at AIUB. All laboratories are maintained by dedicated technical staff and are accessible to students during and beyond regular class hours. The facilities are periodically upgraded in line with technological advancements and curriculum requirements to ensure that AIUB students remain competitive in the ever-evolving global technology landscape.</w:t>
      </w:r>
    </w:p>
    <w:p>
      <w:pPr>
        <w:spacing w:after="80" w:before="80"/>
      </w:pPr>
      <w:r>
        <w:t xml:space="preserve"/>
      </w:r>
    </w:p>
    <w:p>
      <w:pPr>
        <w:spacing w:after="0" w:before="300"/>
        <w:jc w:val="right"/>
      </w:pPr>
      <w:r>
        <w:rPr>
          <w:rFonts w:ascii="Arial" w:cs="Arial" w:eastAsia="Arial" w:hAnsi="Arial"/>
          <w:i/>
          <w:iCs/>
          <w:color w:val="888888"/>
          <w:sz w:val="20"/>
          <w:szCs w:val="20"/>
        </w:rPr>
        <w:t xml:space="preserve">Prepared for the OSC Handbook —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2026-04-21T10:24:54.182Z</dcterms:created>
  <dcterms:modified xsi:type="dcterms:W3CDTF">2026-04-21T10:24:54.184Z</dcterms:modified>
</cp:coreProperties>
</file>

<file path=docProps/custom.xml><?xml version="1.0" encoding="utf-8"?>
<Properties xmlns="http://schemas.openxmlformats.org/officeDocument/2006/custom-properties" xmlns:vt="http://schemas.openxmlformats.org/officeDocument/2006/docPropsVTypes"/>
</file>