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D582" w14:textId="77777777" w:rsidR="008948CC" w:rsidRDefault="008948CC" w:rsidP="008948CC">
      <w:pPr>
        <w:pStyle w:val="Title"/>
      </w:pPr>
      <w:r>
        <w:t>Playwright E2E Testing Framework Rules</w:t>
      </w:r>
    </w:p>
    <w:p w14:paraId="0C28B62E" w14:textId="77777777" w:rsidR="008948CC" w:rsidRDefault="008948CC" w:rsidP="008948CC">
      <w:pPr>
        <w:pStyle w:val="Subtitle"/>
      </w:pPr>
      <w:r>
        <w:t>Best Practices: No Database Connections or Assertions</w:t>
      </w:r>
    </w:p>
    <w:p w14:paraId="19C4D7D2" w14:textId="77777777" w:rsidR="008948CC" w:rsidRDefault="008948CC" w:rsidP="008948CC">
      <w:pPr>
        <w:pStyle w:val="Heading1"/>
      </w:pPr>
      <w:r>
        <w:t>Overview</w:t>
      </w:r>
    </w:p>
    <w:p w14:paraId="6A3EA985" w14:textId="77777777" w:rsidR="008948CC" w:rsidRDefault="008948CC" w:rsidP="008948CC">
      <w:r w:rsidRPr="008948CC">
        <w:t>End-to-end (E2E) testing with Playwright aims to validate the application's behavior from the user's perspective. To ensure tests remain fast, reliable, and maintainable, it is critical to follow strict guidelines, especially regarding database interactions.</w:t>
      </w:r>
    </w:p>
    <w:p w14:paraId="435575D6" w14:textId="77777777" w:rsidR="008948CC" w:rsidRDefault="008948CC" w:rsidP="008948CC">
      <w:pPr>
        <w:pStyle w:val="Heading2"/>
      </w:pPr>
      <w:r>
        <w:t>1. Prohibition on Database Connections</w:t>
      </w:r>
    </w:p>
    <w:p w14:paraId="4CCA9FCB" w14:textId="77777777" w:rsidR="008948CC" w:rsidRDefault="008948CC" w:rsidP="008948CC">
      <w:pPr>
        <w:pStyle w:val="ListParagraph"/>
        <w:numPr>
          <w:ilvl w:val="0"/>
          <w:numId w:val="1"/>
        </w:numPr>
      </w:pPr>
      <w:r w:rsidRPr="008948CC">
        <w:t>Do not connect directly to the database from Playwright tests. All validation and actions must be performed through the application's user interface or exposed APIs, not via direct DB queries or connections.</w:t>
      </w:r>
    </w:p>
    <w:p w14:paraId="701C74BF" w14:textId="77777777" w:rsidR="008948CC" w:rsidRDefault="008948CC" w:rsidP="008948CC">
      <w:pPr>
        <w:pStyle w:val="ListParagraph"/>
        <w:numPr>
          <w:ilvl w:val="0"/>
          <w:numId w:val="1"/>
        </w:numPr>
      </w:pPr>
      <w:r w:rsidRPr="008948CC">
        <w:t>Avoid any setup, teardown, or data verification steps that require access to the database from within the Playwright test process.</w:t>
      </w:r>
    </w:p>
    <w:p w14:paraId="1F601DFF" w14:textId="77777777" w:rsidR="008948CC" w:rsidRDefault="008948CC" w:rsidP="008948CC">
      <w:pPr>
        <w:pStyle w:val="ListParagraph"/>
        <w:numPr>
          <w:ilvl w:val="0"/>
          <w:numId w:val="1"/>
        </w:numPr>
      </w:pPr>
      <w:r w:rsidRPr="008948CC">
        <w:t>If test data is required, it should be created through the application's UI or public API, not by inserting records directly into the database.</w:t>
      </w:r>
    </w:p>
    <w:p w14:paraId="5C6E8C04" w14:textId="77777777" w:rsidR="008948CC" w:rsidRDefault="008948CC" w:rsidP="008948CC">
      <w:pPr>
        <w:pStyle w:val="ListParagraph"/>
        <w:numPr>
          <w:ilvl w:val="0"/>
          <w:numId w:val="1"/>
        </w:numPr>
      </w:pPr>
      <w:r w:rsidRPr="008948CC">
        <w:t>This rule ensures that E2E tests mimic real user interactions and that the system under test is exercised as it would be in production.</w:t>
      </w:r>
    </w:p>
    <w:p w14:paraId="2B5D0FC3" w14:textId="77777777" w:rsidR="008948CC" w:rsidRDefault="008948CC" w:rsidP="008948CC">
      <w:pPr>
        <w:pStyle w:val="Heading2"/>
      </w:pPr>
      <w:r>
        <w:t>2. No Assertions Against the Database</w:t>
      </w:r>
    </w:p>
    <w:p w14:paraId="7ACEE7FE" w14:textId="77777777" w:rsidR="008948CC" w:rsidRDefault="008948CC" w:rsidP="008948CC">
      <w:pPr>
        <w:pStyle w:val="ListParagraph"/>
        <w:numPr>
          <w:ilvl w:val="0"/>
          <w:numId w:val="2"/>
        </w:numPr>
      </w:pPr>
      <w:r w:rsidRPr="008948CC">
        <w:t>Avoid any assertions that check the database state. Validation must be based solely on what is observable through the application's UI or API responses.</w:t>
      </w:r>
    </w:p>
    <w:p w14:paraId="7097F501" w14:textId="77777777" w:rsidR="008948CC" w:rsidRDefault="008948CC" w:rsidP="008948CC">
      <w:pPr>
        <w:pStyle w:val="ListParagraph"/>
        <w:numPr>
          <w:ilvl w:val="0"/>
          <w:numId w:val="2"/>
        </w:numPr>
      </w:pPr>
      <w:r w:rsidRPr="008948CC">
        <w:t>Do not use database queries to confirm that actions have taken place or to verify test outcomes.</w:t>
      </w:r>
    </w:p>
    <w:p w14:paraId="10731111" w14:textId="77777777" w:rsidR="008948CC" w:rsidRDefault="008948CC" w:rsidP="008948CC">
      <w:pPr>
        <w:pStyle w:val="ListParagraph"/>
        <w:numPr>
          <w:ilvl w:val="0"/>
          <w:numId w:val="2"/>
        </w:numPr>
      </w:pPr>
      <w:r w:rsidRPr="008948CC">
        <w:t>Assertions should focus on verifying what the end-user can see or interact with (e.g., checking that a new item appears in a list after creation, or that a success message is displayed).</w:t>
      </w:r>
    </w:p>
    <w:p w14:paraId="5BD0D289" w14:textId="77777777" w:rsidR="008948CC" w:rsidRDefault="008948CC" w:rsidP="008948CC">
      <w:pPr>
        <w:pStyle w:val="ListParagraph"/>
        <w:numPr>
          <w:ilvl w:val="0"/>
          <w:numId w:val="2"/>
        </w:numPr>
      </w:pPr>
      <w:r w:rsidRPr="008948CC">
        <w:t>This approach prevents false positives or negatives caused by database state that may not reflect the actual user experience.</w:t>
      </w:r>
    </w:p>
    <w:p w14:paraId="257D5716" w14:textId="77777777" w:rsidR="008948CC" w:rsidRDefault="008948CC" w:rsidP="008948CC">
      <w:pPr>
        <w:pStyle w:val="Heading2"/>
      </w:pPr>
      <w:r>
        <w:t>3. Rationale</w:t>
      </w:r>
    </w:p>
    <w:p w14:paraId="6F48E587" w14:textId="77777777" w:rsidR="008948CC" w:rsidRDefault="008948CC" w:rsidP="008948CC">
      <w:pPr>
        <w:pStyle w:val="ListParagraph"/>
        <w:numPr>
          <w:ilvl w:val="0"/>
          <w:numId w:val="3"/>
        </w:numPr>
      </w:pPr>
      <w:r w:rsidRPr="008948CC">
        <w:t>Realism: E2E tests should simulate real user journeys. Database shortcuts can mask bugs in the UI or API layer.</w:t>
      </w:r>
    </w:p>
    <w:p w14:paraId="361845AC" w14:textId="77777777" w:rsidR="008948CC" w:rsidRDefault="008948CC" w:rsidP="008948CC">
      <w:pPr>
        <w:pStyle w:val="ListParagraph"/>
        <w:numPr>
          <w:ilvl w:val="0"/>
          <w:numId w:val="3"/>
        </w:numPr>
      </w:pPr>
      <w:r w:rsidRPr="008948CC">
        <w:t>Reliability: Tests that interact with the database directly are more brittle and harder to maintain.</w:t>
      </w:r>
    </w:p>
    <w:p w14:paraId="653FC2B8" w14:textId="77777777" w:rsidR="008948CC" w:rsidRDefault="008948CC" w:rsidP="008948CC">
      <w:pPr>
        <w:pStyle w:val="ListParagraph"/>
        <w:numPr>
          <w:ilvl w:val="0"/>
          <w:numId w:val="3"/>
        </w:numPr>
      </w:pPr>
      <w:r w:rsidRPr="008948CC">
        <w:lastRenderedPageBreak/>
        <w:t>Portability: Avoiding DB dependencies makes tests easier to run in any environment (local, CI/CD, etc.) without special setups.</w:t>
      </w:r>
    </w:p>
    <w:p w14:paraId="645FB352" w14:textId="77777777" w:rsidR="008948CC" w:rsidRDefault="008948CC" w:rsidP="008948CC">
      <w:pPr>
        <w:pStyle w:val="Heading2"/>
      </w:pPr>
      <w:r>
        <w:t>4. Recommended Alternatives</w:t>
      </w:r>
    </w:p>
    <w:p w14:paraId="34035C2A" w14:textId="77777777" w:rsidR="008948CC" w:rsidRDefault="008948CC" w:rsidP="008948CC">
      <w:pPr>
        <w:pStyle w:val="ListParagraph"/>
        <w:numPr>
          <w:ilvl w:val="0"/>
          <w:numId w:val="4"/>
        </w:numPr>
      </w:pPr>
      <w:r w:rsidRPr="008948CC">
        <w:t>Use the application's UI or official APIs to set up and tear down test data.</w:t>
      </w:r>
    </w:p>
    <w:p w14:paraId="01D0F256" w14:textId="77777777" w:rsidR="008948CC" w:rsidRDefault="008948CC" w:rsidP="008948CC">
      <w:pPr>
        <w:pStyle w:val="ListParagraph"/>
        <w:numPr>
          <w:ilvl w:val="0"/>
          <w:numId w:val="4"/>
        </w:numPr>
      </w:pPr>
      <w:r w:rsidRPr="008948CC">
        <w:t>Validate outcomes by checking visible changes in the UI, API responses, or other outputs accessible to the end user.</w:t>
      </w:r>
    </w:p>
    <w:p w14:paraId="4AEC4B42" w14:textId="77777777" w:rsidR="008948CC" w:rsidRDefault="008948CC" w:rsidP="008948CC">
      <w:pPr>
        <w:pStyle w:val="ListParagraph"/>
        <w:numPr>
          <w:ilvl w:val="0"/>
          <w:numId w:val="4"/>
        </w:numPr>
      </w:pPr>
      <w:r w:rsidRPr="008948CC">
        <w:t>Use test fixtures or mocks for data setup where appropriate, but never direct DB access from the Playwright test code.</w:t>
      </w:r>
    </w:p>
    <w:p w14:paraId="1C9F3A94" w14:textId="77777777" w:rsidR="008948CC" w:rsidRDefault="008948CC" w:rsidP="008948CC">
      <w:pPr>
        <w:pStyle w:val="Heading2"/>
      </w:pPr>
      <w:r>
        <w:t>5. Summary</w:t>
      </w:r>
    </w:p>
    <w:p w14:paraId="360BFE91" w14:textId="4D9D0A41" w:rsidR="008948CC" w:rsidRPr="008948CC" w:rsidRDefault="008948CC" w:rsidP="008948CC">
      <w:r w:rsidRPr="008948CC">
        <w:t>Never connect to the database or assert against its state in Playwright E2E tests. All actions and validations should occur through the application's public interface, ensuring tests are robust, maintainable, and reflect real-world user interactions.</w:t>
      </w:r>
    </w:p>
    <w:p w14:paraId="18D206B6" w14:textId="230FF3E3" w:rsidR="00884DEC" w:rsidRPr="008948CC" w:rsidRDefault="00884DEC" w:rsidP="008948CC"/>
    <w:sectPr w:rsidR="00884DEC" w:rsidRPr="008948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4FCD"/>
    <w:multiLevelType w:val="hybridMultilevel"/>
    <w:tmpl w:val="5D9CB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915692"/>
    <w:multiLevelType w:val="hybridMultilevel"/>
    <w:tmpl w:val="B5C4A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020D75"/>
    <w:multiLevelType w:val="hybridMultilevel"/>
    <w:tmpl w:val="E7624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783AFB"/>
    <w:multiLevelType w:val="hybridMultilevel"/>
    <w:tmpl w:val="FA76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3533004">
    <w:abstractNumId w:val="3"/>
  </w:num>
  <w:num w:numId="2" w16cid:durableId="87045671">
    <w:abstractNumId w:val="0"/>
  </w:num>
  <w:num w:numId="3" w16cid:durableId="1221477458">
    <w:abstractNumId w:val="1"/>
  </w:num>
  <w:num w:numId="4" w16cid:durableId="878202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8CC"/>
    <w:rsid w:val="00472B25"/>
    <w:rsid w:val="00541A01"/>
    <w:rsid w:val="00884DEC"/>
    <w:rsid w:val="008948CC"/>
    <w:rsid w:val="00A47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EAE2E"/>
  <w15:chartTrackingRefBased/>
  <w15:docId w15:val="{46F38CE7-0B06-4ED2-92FF-471A7C12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4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4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8CC"/>
    <w:rPr>
      <w:rFonts w:eastAsiaTheme="majorEastAsia" w:cstheme="majorBidi"/>
      <w:color w:val="272727" w:themeColor="text1" w:themeTint="D8"/>
    </w:rPr>
  </w:style>
  <w:style w:type="paragraph" w:styleId="Title">
    <w:name w:val="Title"/>
    <w:basedOn w:val="Normal"/>
    <w:next w:val="Normal"/>
    <w:link w:val="TitleChar"/>
    <w:uiPriority w:val="10"/>
    <w:qFormat/>
    <w:rsid w:val="00894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8CC"/>
    <w:pPr>
      <w:spacing w:before="160"/>
      <w:jc w:val="center"/>
    </w:pPr>
    <w:rPr>
      <w:i/>
      <w:iCs/>
      <w:color w:val="404040" w:themeColor="text1" w:themeTint="BF"/>
    </w:rPr>
  </w:style>
  <w:style w:type="character" w:customStyle="1" w:styleId="QuoteChar">
    <w:name w:val="Quote Char"/>
    <w:basedOn w:val="DefaultParagraphFont"/>
    <w:link w:val="Quote"/>
    <w:uiPriority w:val="29"/>
    <w:rsid w:val="008948CC"/>
    <w:rPr>
      <w:i/>
      <w:iCs/>
      <w:color w:val="404040" w:themeColor="text1" w:themeTint="BF"/>
    </w:rPr>
  </w:style>
  <w:style w:type="paragraph" w:styleId="ListParagraph">
    <w:name w:val="List Paragraph"/>
    <w:basedOn w:val="Normal"/>
    <w:uiPriority w:val="34"/>
    <w:qFormat/>
    <w:rsid w:val="008948CC"/>
    <w:pPr>
      <w:ind w:left="720"/>
      <w:contextualSpacing/>
    </w:pPr>
  </w:style>
  <w:style w:type="character" w:styleId="IntenseEmphasis">
    <w:name w:val="Intense Emphasis"/>
    <w:basedOn w:val="DefaultParagraphFont"/>
    <w:uiPriority w:val="21"/>
    <w:qFormat/>
    <w:rsid w:val="008948CC"/>
    <w:rPr>
      <w:i/>
      <w:iCs/>
      <w:color w:val="0F4761" w:themeColor="accent1" w:themeShade="BF"/>
    </w:rPr>
  </w:style>
  <w:style w:type="paragraph" w:styleId="IntenseQuote">
    <w:name w:val="Intense Quote"/>
    <w:basedOn w:val="Normal"/>
    <w:next w:val="Normal"/>
    <w:link w:val="IntenseQuoteChar"/>
    <w:uiPriority w:val="30"/>
    <w:qFormat/>
    <w:rsid w:val="00894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8CC"/>
    <w:rPr>
      <w:i/>
      <w:iCs/>
      <w:color w:val="0F4761" w:themeColor="accent1" w:themeShade="BF"/>
    </w:rPr>
  </w:style>
  <w:style w:type="character" w:styleId="IntenseReference">
    <w:name w:val="Intense Reference"/>
    <w:basedOn w:val="DefaultParagraphFont"/>
    <w:uiPriority w:val="32"/>
    <w:qFormat/>
    <w:rsid w:val="008948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b23c674-de8a-426d-bc8b-74ad6594a910}" enabled="1" method="Standard" siteId="{c5d0ad88-8f93-43b8-9b7c-c8a3bb8e410a}"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452</Words>
  <Characters>2126</Characters>
  <Application>Microsoft Office Word</Application>
  <DocSecurity>0</DocSecurity>
  <Lines>39</Lines>
  <Paragraphs>16</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Gittins</dc:creator>
  <cp:keywords/>
  <dc:description/>
  <cp:lastModifiedBy>Nathan Gittins</cp:lastModifiedBy>
  <cp:revision>1</cp:revision>
  <dcterms:created xsi:type="dcterms:W3CDTF">2026-01-08T17:37:00Z</dcterms:created>
  <dcterms:modified xsi:type="dcterms:W3CDTF">2026-01-08T17:39:00Z</dcterms:modified>
</cp:coreProperties>
</file>